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4813DC">
      <w:pPr>
        <w:ind w:firstLine="0" w:firstLineChars="0"/>
        <w:jc w:val="center"/>
        <w:outlineLvl w:val="0"/>
        <w:rPr>
          <w:b/>
          <w:bCs/>
          <w:color w:val="auto"/>
          <w:sz w:val="36"/>
          <w:szCs w:val="36"/>
        </w:rPr>
      </w:pPr>
      <w:bookmarkStart w:id="0" w:name="_Toc3038"/>
      <w:bookmarkStart w:id="1" w:name="_Toc15354"/>
      <w:bookmarkStart w:id="2" w:name="_Toc100570202"/>
      <w:bookmarkStart w:id="3" w:name="_Toc492508102"/>
      <w:bookmarkStart w:id="4" w:name="_Toc12826"/>
      <w:bookmarkStart w:id="5" w:name="_Toc15164"/>
      <w:bookmarkStart w:id="6" w:name="_Toc10989"/>
      <w:r>
        <w:rPr>
          <w:b/>
          <w:bCs/>
          <w:color w:val="auto"/>
          <w:sz w:val="36"/>
          <w:szCs w:val="36"/>
        </w:rPr>
        <w:t>前</w:t>
      </w:r>
      <w:r>
        <w:rPr>
          <w:rFonts w:hint="eastAsia"/>
          <w:b/>
          <w:bCs/>
          <w:color w:val="auto"/>
          <w:sz w:val="36"/>
          <w:szCs w:val="36"/>
          <w:lang w:val="en-US" w:eastAsia="zh-CN"/>
        </w:rPr>
        <w:t xml:space="preserve">  </w:t>
      </w:r>
      <w:r>
        <w:rPr>
          <w:b/>
          <w:bCs/>
          <w:color w:val="auto"/>
          <w:sz w:val="36"/>
          <w:szCs w:val="36"/>
        </w:rPr>
        <w:t>言</w:t>
      </w:r>
      <w:bookmarkEnd w:id="0"/>
      <w:bookmarkEnd w:id="1"/>
      <w:bookmarkEnd w:id="2"/>
    </w:p>
    <w:p w14:paraId="0DCE0D94">
      <w:pPr>
        <w:rPr>
          <w:color w:val="auto"/>
        </w:rPr>
      </w:pPr>
      <w:r>
        <w:rPr>
          <w:color w:val="auto"/>
        </w:rPr>
        <w:t>随着我国法制化的日趋健全和完善，安全生产监督管理体系也逐步向科学化、规范化、制度化发展，安全评价作为现代先进安全生产管理模式的主要内容之一越来越受到重视。安全评价是贯彻</w:t>
      </w:r>
      <w:r>
        <w:rPr>
          <w:rFonts w:hint="eastAsia"/>
          <w:color w:val="auto"/>
        </w:rPr>
        <w:t>“</w:t>
      </w:r>
      <w:r>
        <w:rPr>
          <w:color w:val="auto"/>
        </w:rPr>
        <w:t>安全第一、预防为主、综合治理</w:t>
      </w:r>
      <w:r>
        <w:rPr>
          <w:rFonts w:hint="eastAsia"/>
          <w:color w:val="auto"/>
        </w:rPr>
        <w:t>”</w:t>
      </w:r>
      <w:r>
        <w:rPr>
          <w:color w:val="auto"/>
        </w:rPr>
        <w:t>方针，加强安全生产监督管理工作行之有效的技术手段。安全评价不仅能有效地提高企业和生产设备的本质安全程度，而且可以为各级应急管理部门监督检查提供有力的技术依据。</w:t>
      </w:r>
    </w:p>
    <w:p w14:paraId="6F300DA3">
      <w:pPr>
        <w:rPr>
          <w:rFonts w:hint="eastAsia"/>
          <w:color w:val="auto"/>
        </w:rPr>
      </w:pPr>
      <w:r>
        <w:rPr>
          <w:rFonts w:hint="eastAsia"/>
          <w:color w:val="auto"/>
        </w:rPr>
        <w:t>元谋县大远矿业有限公司红坡铁矿选厂尾矿库于2008年由贵州天宝矿产资源咨询服务有限公司进行设计，2010年建设竣工并投入试生产，并于2011年9月12日取得尾矿库安全生产许可证（有效期：2011年9月12日-2014年9月11日），尾矿库原设计总坝高40</w:t>
      </w:r>
      <w:r>
        <w:rPr>
          <w:rFonts w:hint="eastAsia"/>
          <w:color w:val="auto"/>
          <w:lang w:eastAsia="zh-CN"/>
        </w:rPr>
        <w:t>m</w:t>
      </w:r>
      <w:r>
        <w:rPr>
          <w:rFonts w:hint="eastAsia"/>
          <w:color w:val="auto"/>
        </w:rPr>
        <w:t>（初期坝高17.5</w:t>
      </w:r>
      <w:r>
        <w:rPr>
          <w:rFonts w:hint="eastAsia"/>
          <w:color w:val="auto"/>
          <w:lang w:eastAsia="zh-CN"/>
        </w:rPr>
        <w:t>m</w:t>
      </w:r>
      <w:r>
        <w:rPr>
          <w:rFonts w:hint="eastAsia"/>
          <w:color w:val="auto"/>
        </w:rPr>
        <w:t>+堆积坝高22.5</w:t>
      </w:r>
      <w:r>
        <w:rPr>
          <w:rFonts w:hint="eastAsia"/>
          <w:color w:val="auto"/>
          <w:lang w:eastAsia="zh-CN"/>
        </w:rPr>
        <w:t>m</w:t>
      </w:r>
      <w:r>
        <w:rPr>
          <w:rFonts w:hint="eastAsia"/>
          <w:color w:val="auto"/>
        </w:rPr>
        <w:t>），总库容量为98.7万</w:t>
      </w:r>
      <w:r>
        <w:rPr>
          <w:rFonts w:hint="eastAsia"/>
          <w:color w:val="auto"/>
          <w:vertAlign w:val="baseline"/>
          <w:lang w:eastAsia="zh-CN"/>
        </w:rPr>
        <w:t>m</w:t>
      </w:r>
      <w:r>
        <w:rPr>
          <w:rFonts w:hint="eastAsia"/>
          <w:color w:val="auto"/>
          <w:vertAlign w:val="superscript"/>
          <w:lang w:eastAsia="zh-CN"/>
        </w:rPr>
        <w:t>3</w:t>
      </w:r>
      <w:r>
        <w:rPr>
          <w:rFonts w:hint="eastAsia"/>
          <w:color w:val="auto"/>
        </w:rPr>
        <w:t>，有效库容88.9万</w:t>
      </w:r>
      <w:r>
        <w:rPr>
          <w:rFonts w:hint="eastAsia"/>
          <w:color w:val="auto"/>
          <w:vertAlign w:val="baseline"/>
          <w:lang w:eastAsia="zh-CN"/>
        </w:rPr>
        <w:t>m</w:t>
      </w:r>
      <w:r>
        <w:rPr>
          <w:rFonts w:hint="eastAsia"/>
          <w:color w:val="auto"/>
          <w:vertAlign w:val="superscript"/>
          <w:lang w:eastAsia="zh-CN"/>
        </w:rPr>
        <w:t>3</w:t>
      </w:r>
      <w:r>
        <w:rPr>
          <w:rFonts w:hint="eastAsia"/>
          <w:color w:val="auto"/>
        </w:rPr>
        <w:t>，属四等库。截至2014年5月，尾矿库堆至标高1908.0</w:t>
      </w:r>
      <w:r>
        <w:rPr>
          <w:rFonts w:hint="eastAsia"/>
          <w:color w:val="auto"/>
          <w:lang w:eastAsia="zh-CN"/>
        </w:rPr>
        <w:t>m</w:t>
      </w:r>
      <w:r>
        <w:rPr>
          <w:rFonts w:hint="eastAsia"/>
          <w:color w:val="auto"/>
        </w:rPr>
        <w:t>，总坝高35.5</w:t>
      </w:r>
      <w:r>
        <w:rPr>
          <w:rFonts w:hint="eastAsia"/>
          <w:color w:val="auto"/>
          <w:lang w:eastAsia="zh-CN"/>
        </w:rPr>
        <w:t>m</w:t>
      </w:r>
      <w:r>
        <w:rPr>
          <w:rFonts w:hint="eastAsia"/>
          <w:color w:val="auto"/>
        </w:rPr>
        <w:t>（初期坝高17.5</w:t>
      </w:r>
      <w:r>
        <w:rPr>
          <w:rFonts w:hint="eastAsia"/>
          <w:color w:val="auto"/>
          <w:lang w:eastAsia="zh-CN"/>
        </w:rPr>
        <w:t>m</w:t>
      </w:r>
      <w:r>
        <w:rPr>
          <w:rFonts w:hint="eastAsia"/>
          <w:color w:val="auto"/>
        </w:rPr>
        <w:t>+堆积坝高18</w:t>
      </w:r>
      <w:r>
        <w:rPr>
          <w:rFonts w:hint="eastAsia"/>
          <w:color w:val="auto"/>
          <w:lang w:eastAsia="zh-CN"/>
        </w:rPr>
        <w:t>m</w:t>
      </w:r>
      <w:r>
        <w:rPr>
          <w:rFonts w:hint="eastAsia"/>
          <w:color w:val="auto"/>
        </w:rPr>
        <w:t>），库内堆有尾矿约75万</w:t>
      </w:r>
      <w:r>
        <w:rPr>
          <w:rFonts w:hint="eastAsia"/>
          <w:color w:val="auto"/>
          <w:vertAlign w:val="baseline"/>
          <w:lang w:eastAsia="zh-CN"/>
        </w:rPr>
        <w:t>m</w:t>
      </w:r>
      <w:r>
        <w:rPr>
          <w:rFonts w:hint="eastAsia"/>
          <w:color w:val="auto"/>
          <w:vertAlign w:val="superscript"/>
          <w:lang w:eastAsia="zh-CN"/>
        </w:rPr>
        <w:t>3</w:t>
      </w:r>
      <w:r>
        <w:rPr>
          <w:rFonts w:hint="eastAsia"/>
          <w:color w:val="auto"/>
        </w:rPr>
        <w:t>，即将达到设计坝高及库容。由于企业矿山还将继续开采，为了适应企业的发展，满足生产、安全和环保的各项要求，确保选厂选别后的尾矿能满足安全堆放要求，2014年7月企业委托贵州新思维矿业工程设计评估有限公司对尾矿库进行扩容设计工作，但扩容设计未通过评审，因此扩容工作未实际实施。后因市场等原因，企业于2015年停产至今。</w:t>
      </w:r>
    </w:p>
    <w:p w14:paraId="73B88414">
      <w:pPr>
        <w:rPr>
          <w:rFonts w:hint="eastAsia"/>
          <w:color w:val="auto"/>
        </w:rPr>
      </w:pPr>
      <w:r>
        <w:rPr>
          <w:rFonts w:hint="eastAsia"/>
          <w:color w:val="auto"/>
          <w:lang w:val="en-US" w:eastAsia="zh-CN"/>
        </w:rPr>
        <w:t>根据云南省应急管理厅、云南省发展和改革委员会、云南省自然资源厅、云南省生态环境厅、云南省林业和草原局《关于印发云南省尾矿库闭库销号管理办法（试行）的通知》（云应急【2021】20号），按照《楚雄州人民政府办公室关于印发楚雄州尾矿库专项整治工作实施方案的通知》（楚政办函〔2020〕65号）和《楚雄州安全生产委员会办公室关于下达全州尾矿库控制指标的通知》的要求，进行闭库。</w:t>
      </w:r>
    </w:p>
    <w:p w14:paraId="545823B0">
      <w:pPr>
        <w:rPr>
          <w:rFonts w:hint="eastAsia"/>
          <w:color w:val="auto"/>
          <w:lang w:val="en-US" w:eastAsia="zh-CN"/>
        </w:rPr>
      </w:pPr>
      <w:r>
        <w:rPr>
          <w:rFonts w:hint="eastAsia"/>
          <w:color w:val="auto"/>
          <w:lang w:val="en-US" w:eastAsia="zh-CN"/>
        </w:rPr>
        <w:t>根据“《尾矿库安全监督管理规定》（国家安全生产监督管理总局令38号令）第十九条规定：尾矿库运行到设计最终标高的前12个月内，生产经营单位应当进行闭库前的安全现状评价和闭库设计”和</w:t>
      </w:r>
      <w:r>
        <w:rPr>
          <w:rFonts w:hint="eastAsia"/>
          <w:color w:val="auto"/>
          <w:lang w:val="en-GB" w:eastAsia="zh-CN"/>
        </w:rPr>
        <w:t>云南省应急管理厅等五部门关于印发《云南省尾矿库闭库销号管理办法（试行）》的通知</w:t>
      </w:r>
      <w:r>
        <w:rPr>
          <w:rFonts w:hint="eastAsia"/>
          <w:color w:val="auto"/>
          <w:lang w:val="en-US" w:eastAsia="zh-CN"/>
        </w:rPr>
        <w:t>第二章第六条：</w:t>
      </w:r>
      <w:r>
        <w:rPr>
          <w:rFonts w:hint="eastAsia"/>
          <w:color w:val="auto"/>
          <w:lang w:val="en-GB" w:eastAsia="zh-CN"/>
        </w:rPr>
        <w:t>停用时间超过</w:t>
      </w:r>
      <w:r>
        <w:rPr>
          <w:rFonts w:hint="default"/>
          <w:color w:val="auto"/>
          <w:lang w:val="en-GB" w:eastAsia="zh-CN"/>
        </w:rPr>
        <w:t>3年的</w:t>
      </w:r>
      <w:r>
        <w:rPr>
          <w:rFonts w:hint="eastAsia"/>
          <w:color w:val="auto"/>
          <w:lang w:val="en-US" w:eastAsia="zh-CN"/>
        </w:rPr>
        <w:t>，应当实施闭库。</w:t>
      </w:r>
      <w:r>
        <w:rPr>
          <w:color w:val="auto"/>
        </w:rPr>
        <w:t>元谋县人民政府决定对长期停用且不再使用尾矿库、长期停用无法恢复生产尾矿库、不再进行排尾作业尾矿库实施依法关闭。根据元谋县人民政府元政报【2023】4号文件，元谋县大远矿业有限公司红坡铁矿选厂尾矿库属于无主尾矿库，由元谋县应急管理局负责闭库相关手续。</w:t>
      </w:r>
    </w:p>
    <w:p w14:paraId="5140813D">
      <w:pPr>
        <w:rPr>
          <w:rFonts w:hint="eastAsia" w:ascii="宋体" w:eastAsia="宋体" w:cs="宋体"/>
          <w:color w:val="auto"/>
          <w:sz w:val="28"/>
          <w:szCs w:val="28"/>
          <w:lang w:eastAsia="zh-CN"/>
        </w:rPr>
      </w:pPr>
      <w:r>
        <w:rPr>
          <w:rFonts w:hint="eastAsia" w:cs="Times New Roman"/>
          <w:color w:val="auto"/>
          <w:lang w:val="en-US" w:eastAsia="zh-CN"/>
        </w:rPr>
        <w:t>元谋县应急管理局于</w:t>
      </w:r>
      <w:r>
        <w:rPr>
          <w:rFonts w:hint="eastAsia" w:ascii="Times New Roman" w:hAnsi="Times New Roman" w:eastAsia="宋体" w:cs="Times New Roman"/>
          <w:color w:val="auto"/>
          <w:lang w:val="en-US" w:eastAsia="zh-CN"/>
        </w:rPr>
        <w:t>202</w:t>
      </w:r>
      <w:r>
        <w:rPr>
          <w:rFonts w:hint="eastAsia" w:cs="Times New Roman"/>
          <w:color w:val="auto"/>
          <w:lang w:val="en-US" w:eastAsia="zh-CN"/>
        </w:rPr>
        <w:t>2</w:t>
      </w:r>
      <w:r>
        <w:rPr>
          <w:rFonts w:hint="eastAsia" w:ascii="Times New Roman" w:hAnsi="Times New Roman" w:eastAsia="宋体" w:cs="Times New Roman"/>
          <w:color w:val="auto"/>
          <w:lang w:val="en-US" w:eastAsia="zh-CN"/>
        </w:rPr>
        <w:t>年</w:t>
      </w:r>
      <w:r>
        <w:rPr>
          <w:rFonts w:hint="eastAsia" w:cs="Times New Roman"/>
          <w:color w:val="auto"/>
          <w:lang w:val="en-US" w:eastAsia="zh-CN"/>
        </w:rPr>
        <w:t>9</w:t>
      </w:r>
      <w:r>
        <w:rPr>
          <w:rFonts w:hint="eastAsia" w:ascii="Times New Roman" w:hAnsi="Times New Roman" w:eastAsia="宋体" w:cs="Times New Roman"/>
          <w:color w:val="auto"/>
          <w:lang w:val="en-US" w:eastAsia="zh-CN"/>
        </w:rPr>
        <w:t>月委托</w:t>
      </w:r>
      <w:r>
        <w:rPr>
          <w:rFonts w:hint="eastAsia" w:ascii="宋体" w:cs="宋体"/>
          <w:color w:val="auto"/>
          <w:sz w:val="28"/>
          <w:szCs w:val="28"/>
          <w:lang w:eastAsia="zh-CN"/>
        </w:rPr>
        <w:t>云南创钧岩土工程有限公司</w:t>
      </w:r>
      <w:r>
        <w:rPr>
          <w:rFonts w:hint="eastAsia" w:ascii="宋体" w:cs="宋体"/>
          <w:color w:val="auto"/>
          <w:sz w:val="28"/>
          <w:szCs w:val="28"/>
          <w:lang w:val="en-US" w:eastAsia="zh-CN"/>
        </w:rPr>
        <w:t>完成了</w:t>
      </w:r>
      <w:r>
        <w:rPr>
          <w:rFonts w:hint="eastAsia" w:ascii="宋体" w:cs="宋体"/>
          <w:color w:val="auto"/>
          <w:sz w:val="28"/>
          <w:szCs w:val="28"/>
        </w:rPr>
        <w:t>《</w:t>
      </w:r>
      <w:r>
        <w:rPr>
          <w:rFonts w:hint="eastAsia" w:ascii="宋体" w:cs="宋体"/>
          <w:color w:val="auto"/>
          <w:sz w:val="28"/>
          <w:szCs w:val="28"/>
          <w:lang w:val="en-US" w:eastAsia="zh-CN"/>
        </w:rPr>
        <w:t>元谋县大远矿业有限公司红坡铁矿选厂尾矿库</w:t>
      </w:r>
      <w:r>
        <w:rPr>
          <w:rFonts w:hint="eastAsia" w:ascii="宋体" w:cs="宋体"/>
          <w:color w:val="auto"/>
          <w:sz w:val="28"/>
          <w:szCs w:val="28"/>
          <w:lang w:val="en-GB" w:eastAsia="zh-CN"/>
        </w:rPr>
        <w:t>闭库项目</w:t>
      </w:r>
      <w:r>
        <w:rPr>
          <w:rFonts w:hint="eastAsia" w:ascii="宋体" w:cs="宋体"/>
          <w:color w:val="auto"/>
          <w:sz w:val="28"/>
          <w:szCs w:val="28"/>
        </w:rPr>
        <w:t>岩土工程勘察报告》</w:t>
      </w:r>
      <w:r>
        <w:rPr>
          <w:rFonts w:hint="eastAsia" w:ascii="宋体" w:cs="宋体"/>
          <w:color w:val="auto"/>
          <w:sz w:val="28"/>
          <w:szCs w:val="28"/>
          <w:lang w:eastAsia="zh-CN"/>
        </w:rPr>
        <w:t>；</w:t>
      </w:r>
    </w:p>
    <w:p w14:paraId="7A4AC4A0">
      <w:pPr>
        <w:rPr>
          <w:rFonts w:hint="eastAsia" w:ascii="宋体" w:cs="宋体"/>
          <w:color w:val="auto"/>
          <w:sz w:val="28"/>
          <w:szCs w:val="28"/>
          <w:lang w:val="en-US" w:eastAsia="zh-CN"/>
        </w:rPr>
      </w:pPr>
      <w:r>
        <w:rPr>
          <w:rFonts w:hint="eastAsia" w:ascii="宋体" w:cs="宋体"/>
          <w:color w:val="auto"/>
          <w:sz w:val="28"/>
          <w:szCs w:val="28"/>
          <w:lang w:val="en-US" w:eastAsia="zh-CN"/>
        </w:rPr>
        <w:t>2023年3月委托昭通市鼎安科技有限公司完成了《元谋县大远矿业有限公司红坡铁矿选厂尾矿库闭库工程安全现状评价》报告；</w:t>
      </w:r>
    </w:p>
    <w:p w14:paraId="598AB305">
      <w:pPr>
        <w:rPr>
          <w:rFonts w:hint="eastAsia" w:ascii="宋体" w:cs="宋体"/>
          <w:color w:val="auto"/>
          <w:sz w:val="28"/>
          <w:szCs w:val="28"/>
          <w:lang w:val="en-US" w:eastAsia="zh-CN"/>
        </w:rPr>
      </w:pPr>
      <w:r>
        <w:rPr>
          <w:rFonts w:hint="eastAsia" w:ascii="宋体" w:cs="宋体"/>
          <w:color w:val="auto"/>
          <w:sz w:val="28"/>
          <w:szCs w:val="28"/>
          <w:lang w:val="en-US" w:eastAsia="zh-CN"/>
        </w:rPr>
        <w:t>2023年4月份委托昆明赛特拉矿山工程设计有限公司完成了《元谋县大远矿业有限公司红坡铁矿选厂尾矿库闭库工程初步设计》；</w:t>
      </w:r>
    </w:p>
    <w:p w14:paraId="322891B9">
      <w:pPr>
        <w:rPr>
          <w:rFonts w:hint="eastAsia" w:ascii="宋体" w:cs="宋体"/>
          <w:color w:val="auto"/>
          <w:sz w:val="28"/>
          <w:szCs w:val="28"/>
          <w:lang w:val="en-US" w:eastAsia="zh-CN"/>
        </w:rPr>
      </w:pPr>
      <w:r>
        <w:rPr>
          <w:rFonts w:hint="eastAsia" w:ascii="宋体" w:cs="宋体"/>
          <w:color w:val="auto"/>
          <w:sz w:val="28"/>
          <w:szCs w:val="28"/>
          <w:lang w:val="en-US" w:eastAsia="zh-CN"/>
        </w:rPr>
        <w:t>2023年4月份委托昆明赛特拉矿山工程设计有限公司完成了《元谋县大远矿业有限公司红坡铁矿选厂尾矿库闭库工程安全设施设计》；</w:t>
      </w:r>
    </w:p>
    <w:p w14:paraId="72246971">
      <w:pPr>
        <w:rPr>
          <w:rFonts w:hint="eastAsia" w:ascii="宋体" w:cs="宋体"/>
          <w:color w:val="auto"/>
          <w:sz w:val="28"/>
          <w:szCs w:val="28"/>
          <w:highlight w:val="none"/>
          <w:lang w:val="en-US" w:eastAsia="zh-CN"/>
        </w:rPr>
      </w:pPr>
      <w:r>
        <w:rPr>
          <w:rFonts w:hint="eastAsia" w:ascii="宋体" w:cs="宋体"/>
          <w:color w:val="auto"/>
          <w:sz w:val="28"/>
          <w:szCs w:val="28"/>
          <w:highlight w:val="none"/>
          <w:lang w:val="en-US" w:eastAsia="zh-CN"/>
        </w:rPr>
        <w:t>2023年4月20日取得楚雄州应急管理局的《安全设施设计审批书》；</w:t>
      </w:r>
    </w:p>
    <w:p w14:paraId="6E528B14">
      <w:pPr>
        <w:rPr>
          <w:rFonts w:hint="eastAsia" w:ascii="宋体" w:hAnsi="宋体" w:eastAsia="宋体"/>
          <w:color w:val="auto"/>
          <w:sz w:val="28"/>
          <w:szCs w:val="28"/>
          <w:highlight w:val="none"/>
          <w:lang w:eastAsia="zh-CN"/>
        </w:rPr>
      </w:pPr>
      <w:r>
        <w:rPr>
          <w:rFonts w:hint="eastAsia" w:ascii="宋体" w:cs="宋体"/>
          <w:color w:val="auto"/>
          <w:sz w:val="28"/>
          <w:szCs w:val="28"/>
          <w:highlight w:val="none"/>
          <w:lang w:val="en-US" w:eastAsia="zh-CN"/>
        </w:rPr>
        <w:t>2023年7月委托</w:t>
      </w:r>
      <w:r>
        <w:rPr>
          <w:rFonts w:hint="eastAsia" w:ascii="宋体" w:hAnsi="宋体" w:cs="仿宋_GB2312"/>
          <w:b w:val="0"/>
          <w:bCs w:val="0"/>
          <w:color w:val="auto"/>
          <w:sz w:val="28"/>
          <w:szCs w:val="28"/>
          <w:highlight w:val="none"/>
          <w:lang w:val="en-US" w:eastAsia="zh-CN"/>
        </w:rPr>
        <w:t>亮云建设集团有限公司开始施工建设，中鸿荣造项目管理有限公司对其</w:t>
      </w:r>
      <w:r>
        <w:rPr>
          <w:rFonts w:hint="eastAsia" w:ascii="宋体" w:hAnsi="宋体"/>
          <w:color w:val="auto"/>
          <w:sz w:val="28"/>
          <w:szCs w:val="28"/>
          <w:highlight w:val="none"/>
        </w:rPr>
        <w:t>施工阶段实施监理</w:t>
      </w:r>
      <w:r>
        <w:rPr>
          <w:rFonts w:hint="eastAsia" w:ascii="宋体" w:hAnsi="宋体"/>
          <w:color w:val="auto"/>
          <w:sz w:val="28"/>
          <w:szCs w:val="28"/>
          <w:highlight w:val="none"/>
          <w:lang w:eastAsia="zh-CN"/>
        </w:rPr>
        <w:t>；</w:t>
      </w:r>
    </w:p>
    <w:p w14:paraId="7266F653">
      <w:pPr>
        <w:rPr>
          <w:rFonts w:hint="default" w:ascii="Times New Roman" w:hAnsi="Times New Roman" w:eastAsia="宋体" w:cs="Times New Roman"/>
          <w:color w:val="auto"/>
          <w:highlight w:val="none"/>
          <w:lang w:val="en-US" w:eastAsia="zh-CN"/>
        </w:rPr>
      </w:pPr>
      <w:r>
        <w:rPr>
          <w:rFonts w:hint="eastAsia" w:ascii="宋体" w:hAnsi="宋体"/>
          <w:color w:val="auto"/>
          <w:sz w:val="28"/>
          <w:szCs w:val="28"/>
          <w:highlight w:val="none"/>
          <w:lang w:val="en-US" w:eastAsia="zh-CN"/>
        </w:rPr>
        <w:t>尾矿库闭库工程于2024年1月完工，并于2024年10月完成了所有施工、监理的相关资料。</w:t>
      </w:r>
    </w:p>
    <w:p w14:paraId="1B96CB12">
      <w:pPr>
        <w:rPr>
          <w:color w:val="auto"/>
        </w:rPr>
      </w:pPr>
      <w:r>
        <w:rPr>
          <w:rFonts w:ascii="Times New Roman" w:hAnsi="Times New Roman" w:eastAsia="宋体" w:cs="Times New Roman"/>
          <w:color w:val="auto"/>
        </w:rPr>
        <w:t>根据国家基本建设程序和《非煤矿山企业安全生产许可证实施办法》（国家安全生产监督管理总局第20号令，安全生产监督管理总局第78号令修订）、《关于印发&lt;云南省尾矿库闭库销号管理办法</w:t>
      </w:r>
      <w:r>
        <w:rPr>
          <w:rFonts w:hint="eastAsia" w:ascii="Times New Roman" w:hAnsi="Times New Roman" w:eastAsia="宋体" w:cs="Times New Roman"/>
          <w:color w:val="auto"/>
        </w:rPr>
        <w:t>（</w:t>
      </w:r>
      <w:r>
        <w:rPr>
          <w:rFonts w:ascii="Times New Roman" w:hAnsi="Times New Roman" w:eastAsia="宋体" w:cs="Times New Roman"/>
          <w:color w:val="auto"/>
        </w:rPr>
        <w:t>试行</w:t>
      </w:r>
      <w:r>
        <w:rPr>
          <w:rFonts w:hint="eastAsia" w:ascii="Times New Roman" w:hAnsi="Times New Roman" w:eastAsia="宋体" w:cs="Times New Roman"/>
          <w:color w:val="auto"/>
        </w:rPr>
        <w:t>）</w:t>
      </w:r>
      <w:r>
        <w:rPr>
          <w:rFonts w:hint="eastAsia" w:cs="Times New Roman"/>
          <w:color w:val="auto"/>
          <w:lang w:eastAsia="zh-CN"/>
        </w:rPr>
        <w:t>〉</w:t>
      </w:r>
      <w:r>
        <w:rPr>
          <w:rFonts w:ascii="Times New Roman" w:hAnsi="Times New Roman" w:eastAsia="宋体" w:cs="Times New Roman"/>
          <w:color w:val="auto"/>
        </w:rPr>
        <w:t>的通知》</w:t>
      </w:r>
      <w:r>
        <w:rPr>
          <w:rFonts w:hint="eastAsia" w:ascii="Times New Roman" w:hAnsi="Times New Roman" w:eastAsia="宋体" w:cs="Times New Roman"/>
          <w:color w:val="auto"/>
        </w:rPr>
        <w:t>（</w:t>
      </w:r>
      <w:r>
        <w:rPr>
          <w:rFonts w:ascii="Times New Roman" w:hAnsi="Times New Roman" w:eastAsia="宋体" w:cs="Times New Roman"/>
          <w:color w:val="auto"/>
        </w:rPr>
        <w:t>云应急〔2021〕20号</w:t>
      </w:r>
      <w:r>
        <w:rPr>
          <w:rFonts w:hint="eastAsia" w:ascii="Times New Roman" w:hAnsi="Times New Roman" w:eastAsia="宋体" w:cs="Times New Roman"/>
          <w:color w:val="auto"/>
        </w:rPr>
        <w:t>）</w:t>
      </w:r>
      <w:r>
        <w:rPr>
          <w:rFonts w:ascii="Times New Roman" w:hAnsi="Times New Roman" w:eastAsia="宋体" w:cs="Times New Roman"/>
          <w:color w:val="auto"/>
        </w:rPr>
        <w:t>等国家有关安全生产法律、法规，受</w:t>
      </w:r>
      <w:r>
        <w:rPr>
          <w:rFonts w:hint="eastAsia" w:cs="Times New Roman"/>
          <w:color w:val="auto"/>
          <w:lang w:eastAsia="zh-CN"/>
        </w:rPr>
        <w:t>元谋县应急管理局</w:t>
      </w:r>
      <w:r>
        <w:rPr>
          <w:rFonts w:ascii="Times New Roman" w:hAnsi="Times New Roman" w:eastAsia="宋体" w:cs="Times New Roman"/>
          <w:color w:val="auto"/>
        </w:rPr>
        <w:t>的委托，昭通市鼎安科技有限公司承担</w:t>
      </w:r>
      <w:r>
        <w:rPr>
          <w:rFonts w:hint="eastAsia" w:cs="Times New Roman"/>
          <w:color w:val="auto"/>
          <w:lang w:eastAsia="zh-CN"/>
        </w:rPr>
        <w:t>元谋县大远矿业有限公司红坡铁矿选厂尾矿库</w:t>
      </w:r>
      <w:r>
        <w:rPr>
          <w:rFonts w:hint="eastAsia" w:ascii="Times New Roman" w:hAnsi="Times New Roman" w:eastAsia="宋体" w:cs="Times New Roman"/>
          <w:color w:val="auto"/>
          <w:lang w:eastAsia="zh-CN"/>
        </w:rPr>
        <w:t>闭库</w:t>
      </w:r>
      <w:r>
        <w:rPr>
          <w:rFonts w:ascii="Times New Roman" w:hAnsi="Times New Roman" w:eastAsia="宋体" w:cs="Times New Roman"/>
          <w:color w:val="auto"/>
        </w:rPr>
        <w:t>验收评价工作。本次</w:t>
      </w:r>
      <w:r>
        <w:rPr>
          <w:rFonts w:hint="eastAsia" w:ascii="Times New Roman" w:hAnsi="Times New Roman" w:eastAsia="宋体" w:cs="Times New Roman"/>
          <w:color w:val="auto"/>
          <w:lang w:eastAsia="zh-CN"/>
        </w:rPr>
        <w:t>闭库</w:t>
      </w:r>
      <w:r>
        <w:rPr>
          <w:rFonts w:ascii="Times New Roman" w:hAnsi="Times New Roman" w:eastAsia="宋体" w:cs="Times New Roman"/>
          <w:color w:val="auto"/>
        </w:rPr>
        <w:t>验收评价项目的依据为</w:t>
      </w:r>
      <w:r>
        <w:rPr>
          <w:rFonts w:hint="eastAsia" w:ascii="宋体" w:cs="宋体"/>
          <w:color w:val="auto"/>
          <w:sz w:val="28"/>
          <w:szCs w:val="28"/>
          <w:lang w:val="en-US" w:eastAsia="zh-CN"/>
        </w:rPr>
        <w:t>昆明赛特拉矿山工程设计有限公司</w:t>
      </w:r>
      <w:r>
        <w:rPr>
          <w:rFonts w:ascii="Times New Roman" w:hAnsi="Times New Roman" w:eastAsia="宋体" w:cs="Times New Roman"/>
          <w:color w:val="auto"/>
        </w:rPr>
        <w:t>编制完成并通过审查的《</w:t>
      </w:r>
      <w:r>
        <w:rPr>
          <w:rFonts w:hint="eastAsia" w:ascii="宋体" w:cs="宋体"/>
          <w:color w:val="auto"/>
          <w:sz w:val="28"/>
          <w:szCs w:val="28"/>
          <w:lang w:val="en-US" w:eastAsia="zh-CN"/>
        </w:rPr>
        <w:t>元谋县大远矿业有限公司红坡铁矿选厂尾矿库闭库工程安全设施设计</w:t>
      </w:r>
      <w:r>
        <w:rPr>
          <w:rFonts w:ascii="Times New Roman" w:hAnsi="Times New Roman" w:eastAsia="宋体" w:cs="Times New Roman"/>
          <w:color w:val="auto"/>
        </w:rPr>
        <w:t>》。</w:t>
      </w:r>
    </w:p>
    <w:p w14:paraId="2DBB1DEA">
      <w:pPr>
        <w:rPr>
          <w:color w:val="auto"/>
        </w:rPr>
      </w:pPr>
      <w:r>
        <w:rPr>
          <w:color w:val="auto"/>
        </w:rPr>
        <w:t>在接受企业尾矿库闭库验收评价工作的委托之后，昭通市鼎安科技有限公司立即成立项目安全评价组，组织有关安全评价人员投入到该项目的安全评价工作。</w:t>
      </w:r>
      <w:bookmarkStart w:id="7" w:name="_Hlk38458675"/>
      <w:r>
        <w:rPr>
          <w:rFonts w:hint="eastAsia"/>
          <w:color w:val="auto"/>
          <w:lang w:val="zh-TW" w:eastAsia="zh-TW"/>
        </w:rPr>
        <w:t>在认真分析项目风险，收集国家法律法规、部门规章、地方性法规及规范性文件、国家标准、行业标准、规程、规范，建设项目单位提供的相关资料基础上，于</w:t>
      </w:r>
      <w:r>
        <w:rPr>
          <w:rFonts w:hint="eastAsia"/>
          <w:color w:val="auto"/>
        </w:rPr>
        <w:t>202</w:t>
      </w:r>
      <w:r>
        <w:rPr>
          <w:rFonts w:hint="eastAsia"/>
          <w:color w:val="auto"/>
          <w:lang w:val="en-US" w:eastAsia="zh-CN"/>
        </w:rPr>
        <w:t>3</w:t>
      </w:r>
      <w:r>
        <w:rPr>
          <w:rFonts w:hint="eastAsia"/>
          <w:color w:val="auto"/>
          <w:lang w:val="zh-TW" w:eastAsia="zh-TW"/>
        </w:rPr>
        <w:t>年</w:t>
      </w:r>
      <w:r>
        <w:rPr>
          <w:rFonts w:hint="eastAsia"/>
          <w:color w:val="auto"/>
          <w:lang w:val="en-US" w:eastAsia="zh-CN"/>
        </w:rPr>
        <w:t>12</w:t>
      </w:r>
      <w:r>
        <w:rPr>
          <w:rFonts w:hint="eastAsia"/>
          <w:color w:val="auto"/>
          <w:lang w:val="zh-TW" w:eastAsia="zh-TW"/>
        </w:rPr>
        <w:t>月</w:t>
      </w:r>
      <w:r>
        <w:rPr>
          <w:rFonts w:hint="eastAsia"/>
          <w:color w:val="auto"/>
          <w:lang w:val="en-US" w:eastAsia="zh-CN"/>
        </w:rPr>
        <w:t>5</w:t>
      </w:r>
      <w:r>
        <w:rPr>
          <w:color w:val="auto"/>
          <w:lang w:val="zh-TW" w:eastAsia="zh-TW"/>
        </w:rPr>
        <w:t>日</w:t>
      </w:r>
      <w:r>
        <w:rPr>
          <w:rFonts w:hint="eastAsia"/>
          <w:color w:val="auto"/>
          <w:lang w:val="zh-TW" w:eastAsia="zh-TW"/>
        </w:rPr>
        <w:t>到现场实地勘测调查，</w:t>
      </w:r>
      <w:r>
        <w:rPr>
          <w:rFonts w:hint="eastAsia"/>
          <w:color w:val="auto"/>
          <w:lang w:val="en-US" w:eastAsia="zh-CN"/>
        </w:rPr>
        <w:t>对现场存在的隐患问题提出了整改意见，</w:t>
      </w:r>
      <w:r>
        <w:rPr>
          <w:rFonts w:hint="eastAsia"/>
          <w:color w:val="auto"/>
          <w:lang w:val="zh-TW" w:eastAsia="zh-TW"/>
        </w:rPr>
        <w:t>经对现场收集的调查资料分析整理，对项目存在或潜在危险、有害因素辨识分析和定性、定量评价，按照评价导则和《国家安全监管总局关于印发金属非金属矿山建设项目安全</w:t>
      </w:r>
      <w:r>
        <w:rPr>
          <w:rFonts w:hint="eastAsia"/>
          <w:color w:val="auto"/>
          <w:lang w:val="en-US" w:eastAsia="zh-CN"/>
        </w:rPr>
        <w:t>验收</w:t>
      </w:r>
      <w:r>
        <w:rPr>
          <w:rFonts w:hint="eastAsia"/>
          <w:color w:val="auto"/>
          <w:lang w:val="zh-TW" w:eastAsia="zh-TW"/>
        </w:rPr>
        <w:t>评价报告编写提纲的通知》（安监总管一【2016】49号）要求，于</w:t>
      </w:r>
      <w:r>
        <w:rPr>
          <w:rFonts w:hint="eastAsia"/>
          <w:color w:val="auto"/>
        </w:rPr>
        <w:t>202</w:t>
      </w:r>
      <w:r>
        <w:rPr>
          <w:rFonts w:hint="eastAsia"/>
          <w:color w:val="auto"/>
          <w:lang w:val="en-US" w:eastAsia="zh-CN"/>
        </w:rPr>
        <w:t>4</w:t>
      </w:r>
      <w:r>
        <w:rPr>
          <w:rFonts w:hint="eastAsia"/>
          <w:color w:val="auto"/>
          <w:lang w:val="zh-TW" w:eastAsia="zh-TW"/>
        </w:rPr>
        <w:t>年</w:t>
      </w:r>
      <w:r>
        <w:rPr>
          <w:rFonts w:hint="eastAsia"/>
          <w:color w:val="auto"/>
          <w:lang w:val="en-US" w:eastAsia="zh-CN"/>
        </w:rPr>
        <w:t>4</w:t>
      </w:r>
      <w:r>
        <w:rPr>
          <w:rFonts w:hint="eastAsia"/>
          <w:color w:val="auto"/>
          <w:lang w:val="zh-TW" w:eastAsia="zh-TW"/>
        </w:rPr>
        <w:t>月</w:t>
      </w:r>
      <w:r>
        <w:rPr>
          <w:rFonts w:hint="eastAsia"/>
          <w:color w:val="auto"/>
          <w:lang w:val="en-US" w:eastAsia="zh-CN"/>
        </w:rPr>
        <w:t>22日到现场实地对提出的隐患整改情况进行复核，于2024年10月25日</w:t>
      </w:r>
      <w:r>
        <w:rPr>
          <w:rFonts w:hint="eastAsia"/>
          <w:color w:val="auto"/>
          <w:lang w:val="zh-TW" w:eastAsia="zh-TW"/>
        </w:rPr>
        <w:t>完</w:t>
      </w:r>
      <w:bookmarkEnd w:id="7"/>
      <w:r>
        <w:rPr>
          <w:color w:val="auto"/>
        </w:rPr>
        <w:t>完成</w:t>
      </w:r>
      <w:r>
        <w:rPr>
          <w:rFonts w:hint="eastAsia"/>
          <w:color w:val="auto"/>
          <w:lang w:val="en-US" w:eastAsia="zh-CN"/>
        </w:rPr>
        <w:t>验收</w:t>
      </w:r>
      <w:r>
        <w:rPr>
          <w:color w:val="auto"/>
        </w:rPr>
        <w:t>评价报告的编制，并提交公司进行三级审核定稿。最终形成《</w:t>
      </w:r>
      <w:bookmarkStart w:id="8" w:name="_Hlk102809400"/>
      <w:r>
        <w:rPr>
          <w:rFonts w:hint="eastAsia"/>
          <w:color w:val="auto"/>
          <w:lang w:eastAsia="zh-CN"/>
        </w:rPr>
        <w:t>元谋县大远矿业有限公司红坡铁矿选厂尾矿库闭库</w:t>
      </w:r>
      <w:r>
        <w:rPr>
          <w:color w:val="auto"/>
        </w:rPr>
        <w:t>安全验收评价报告</w:t>
      </w:r>
      <w:bookmarkEnd w:id="8"/>
      <w:r>
        <w:rPr>
          <w:color w:val="auto"/>
        </w:rPr>
        <w:t>》。</w:t>
      </w:r>
    </w:p>
    <w:p w14:paraId="0376A28E">
      <w:pPr>
        <w:rPr>
          <w:color w:val="auto"/>
        </w:rPr>
      </w:pPr>
      <w:r>
        <w:rPr>
          <w:color w:val="auto"/>
        </w:rPr>
        <w:t>在本项目的评价过程中，得到</w:t>
      </w:r>
      <w:r>
        <w:rPr>
          <w:rFonts w:hint="eastAsia"/>
          <w:color w:val="auto"/>
          <w:lang w:eastAsia="zh-CN"/>
        </w:rPr>
        <w:t>楚雄州</w:t>
      </w:r>
      <w:r>
        <w:rPr>
          <w:color w:val="auto"/>
        </w:rPr>
        <w:t>、</w:t>
      </w:r>
      <w:r>
        <w:rPr>
          <w:rFonts w:hint="eastAsia"/>
          <w:color w:val="auto"/>
          <w:lang w:eastAsia="zh-CN"/>
        </w:rPr>
        <w:t>元谋县应急管理部门</w:t>
      </w:r>
      <w:r>
        <w:rPr>
          <w:color w:val="auto"/>
        </w:rPr>
        <w:t>有关领导和技术人员的大力支持，同时在报告中引用了一些专家学者的研究成果和技术资料，在此一并表示感谢。</w:t>
      </w:r>
    </w:p>
    <w:sdt>
      <w:sdtPr>
        <w:rPr>
          <w:rFonts w:ascii="宋体" w:hAnsi="宋体" w:eastAsia="宋体" w:cs="Times New Roman"/>
          <w:snapToGrid w:val="0"/>
          <w:color w:val="auto"/>
          <w:sz w:val="21"/>
          <w:szCs w:val="28"/>
          <w:lang w:val="en-US" w:eastAsia="zh-CN" w:bidi="ar-SA"/>
        </w:rPr>
        <w:id w:val="147464095"/>
        <w15:color w:val="DBDBDB"/>
        <w:docPartObj>
          <w:docPartGallery w:val="Table of Contents"/>
          <w:docPartUnique/>
        </w:docPartObj>
      </w:sdtPr>
      <w:sdtEndPr>
        <w:rPr>
          <w:rFonts w:ascii="Times New Roman" w:hAnsi="Times New Roman" w:eastAsia="宋体" w:cs="Times New Roman"/>
          <w:snapToGrid w:val="0"/>
          <w:color w:val="auto"/>
          <w:sz w:val="28"/>
          <w:szCs w:val="28"/>
          <w:lang w:val="en-US" w:eastAsia="zh-CN" w:bidi="ar-SA"/>
        </w:rPr>
      </w:sdtEndPr>
      <w:sdtContent>
        <w:p w14:paraId="7C04B377">
          <w:pPr>
            <w:spacing w:before="0" w:beforeLines="0" w:after="0" w:afterLines="0" w:line="240" w:lineRule="auto"/>
            <w:ind w:left="0" w:leftChars="0" w:right="0" w:rightChars="0" w:firstLine="0" w:firstLineChars="0"/>
            <w:jc w:val="center"/>
            <w:rPr>
              <w:rFonts w:ascii="宋体" w:hAnsi="宋体" w:eastAsia="宋体" w:cs="Times New Roman"/>
              <w:snapToGrid w:val="0"/>
              <w:color w:val="auto"/>
              <w:sz w:val="21"/>
              <w:szCs w:val="28"/>
              <w:lang w:val="en-US" w:eastAsia="zh-CN" w:bidi="ar-SA"/>
            </w:rPr>
          </w:pPr>
        </w:p>
        <w:p w14:paraId="210D05F3">
          <w:pPr>
            <w:rPr>
              <w:rFonts w:ascii="宋体" w:hAnsi="宋体" w:eastAsia="宋体" w:cs="Times New Roman"/>
              <w:snapToGrid w:val="0"/>
              <w:color w:val="auto"/>
              <w:sz w:val="21"/>
              <w:szCs w:val="28"/>
              <w:lang w:val="en-US" w:eastAsia="zh-CN" w:bidi="ar-SA"/>
            </w:rPr>
          </w:pPr>
          <w:r>
            <w:rPr>
              <w:rFonts w:ascii="宋体" w:hAnsi="宋体" w:eastAsia="宋体" w:cs="Times New Roman"/>
              <w:snapToGrid w:val="0"/>
              <w:color w:val="auto"/>
              <w:sz w:val="21"/>
              <w:szCs w:val="28"/>
              <w:lang w:val="en-US" w:eastAsia="zh-CN" w:bidi="ar-SA"/>
            </w:rPr>
            <w:br w:type="page"/>
          </w:r>
        </w:p>
        <w:p w14:paraId="319234A0">
          <w:pPr>
            <w:spacing w:before="0" w:beforeLines="0" w:after="0" w:afterLines="0" w:line="240" w:lineRule="auto"/>
            <w:ind w:left="0" w:leftChars="0" w:right="0" w:rightChars="0" w:firstLine="0" w:firstLineChars="0"/>
            <w:jc w:val="center"/>
            <w:rPr>
              <w:b/>
              <w:bCs/>
              <w:color w:val="auto"/>
              <w:sz w:val="44"/>
              <w:szCs w:val="44"/>
            </w:rPr>
          </w:pPr>
          <w:r>
            <w:rPr>
              <w:rFonts w:ascii="宋体" w:hAnsi="宋体" w:eastAsia="宋体"/>
              <w:b/>
              <w:bCs/>
              <w:color w:val="auto"/>
              <w:sz w:val="32"/>
              <w:szCs w:val="44"/>
            </w:rPr>
            <w:t>目录</w:t>
          </w:r>
        </w:p>
        <w:p w14:paraId="0A294480">
          <w:pPr>
            <w:pStyle w:val="39"/>
            <w:tabs>
              <w:tab w:val="right" w:leader="dot" w:pos="8902"/>
            </w:tabs>
          </w:pPr>
          <w:r>
            <w:rPr>
              <w:color w:val="auto"/>
            </w:rPr>
            <w:fldChar w:fldCharType="begin"/>
          </w:r>
          <w:r>
            <w:rPr>
              <w:color w:val="auto"/>
            </w:rPr>
            <w:instrText xml:space="preserve">TOC \o "1-3" \h \u </w:instrText>
          </w:r>
          <w:r>
            <w:rPr>
              <w:color w:val="auto"/>
            </w:rPr>
            <w:fldChar w:fldCharType="separate"/>
          </w:r>
          <w:r>
            <w:rPr>
              <w:color w:val="auto"/>
            </w:rPr>
            <w:fldChar w:fldCharType="begin"/>
          </w:r>
          <w:r>
            <w:instrText xml:space="preserve"> HYPERLINK \l _Toc3038 </w:instrText>
          </w:r>
          <w:r>
            <w:fldChar w:fldCharType="separate"/>
          </w:r>
          <w:r>
            <w:rPr>
              <w:bCs/>
              <w:szCs w:val="36"/>
            </w:rPr>
            <w:t>前言</w:t>
          </w:r>
          <w:r>
            <w:tab/>
          </w:r>
          <w:r>
            <w:fldChar w:fldCharType="begin"/>
          </w:r>
          <w:r>
            <w:instrText xml:space="preserve"> PAGEREF _Toc3038 \h </w:instrText>
          </w:r>
          <w:r>
            <w:fldChar w:fldCharType="separate"/>
          </w:r>
          <w:r>
            <w:t>1</w:t>
          </w:r>
          <w:r>
            <w:fldChar w:fldCharType="end"/>
          </w:r>
          <w:r>
            <w:rPr>
              <w:color w:val="auto"/>
            </w:rPr>
            <w:fldChar w:fldCharType="end"/>
          </w:r>
        </w:p>
        <w:p w14:paraId="112F1128">
          <w:pPr>
            <w:pStyle w:val="39"/>
            <w:tabs>
              <w:tab w:val="right" w:leader="dot" w:pos="8902"/>
            </w:tabs>
          </w:pPr>
          <w:r>
            <w:rPr>
              <w:color w:val="auto"/>
            </w:rPr>
            <w:fldChar w:fldCharType="begin"/>
          </w:r>
          <w:r>
            <w:instrText xml:space="preserve"> HYPERLINK \l _Toc6034 </w:instrText>
          </w:r>
          <w:r>
            <w:fldChar w:fldCharType="separate"/>
          </w:r>
          <w:r>
            <w:rPr>
              <w:rFonts w:hint="eastAsia"/>
            </w:rPr>
            <w:t>1.</w:t>
          </w:r>
          <w:r>
            <w:t>评价范围与依据</w:t>
          </w:r>
          <w:r>
            <w:tab/>
          </w:r>
          <w:r>
            <w:fldChar w:fldCharType="begin"/>
          </w:r>
          <w:r>
            <w:instrText xml:space="preserve"> PAGEREF _Toc6034 \h </w:instrText>
          </w:r>
          <w:r>
            <w:fldChar w:fldCharType="separate"/>
          </w:r>
          <w:r>
            <w:t>1</w:t>
          </w:r>
          <w:r>
            <w:fldChar w:fldCharType="end"/>
          </w:r>
          <w:r>
            <w:rPr>
              <w:color w:val="auto"/>
            </w:rPr>
            <w:fldChar w:fldCharType="end"/>
          </w:r>
        </w:p>
        <w:p w14:paraId="16F1547E">
          <w:pPr>
            <w:pStyle w:val="48"/>
            <w:tabs>
              <w:tab w:val="right" w:leader="dot" w:pos="8902"/>
            </w:tabs>
          </w:pPr>
          <w:r>
            <w:rPr>
              <w:color w:val="auto"/>
            </w:rPr>
            <w:fldChar w:fldCharType="begin"/>
          </w:r>
          <w:r>
            <w:instrText xml:space="preserve"> HYPERLINK \l _Toc25468 </w:instrText>
          </w:r>
          <w:r>
            <w:fldChar w:fldCharType="separate"/>
          </w:r>
          <w:r>
            <w:rPr>
              <w:rFonts w:hint="eastAsia" w:eastAsia="宋体"/>
              <w:lang w:val="en-US" w:eastAsia="zh-CN"/>
            </w:rPr>
            <w:t>1.1</w:t>
          </w:r>
          <w:r>
            <w:rPr>
              <w:rFonts w:hint="eastAsia"/>
              <w:lang w:val="en-US" w:eastAsia="zh-CN"/>
            </w:rPr>
            <w:t>评价对象与范围</w:t>
          </w:r>
          <w:r>
            <w:tab/>
          </w:r>
          <w:r>
            <w:fldChar w:fldCharType="begin"/>
          </w:r>
          <w:r>
            <w:instrText xml:space="preserve"> PAGEREF _Toc25468 \h </w:instrText>
          </w:r>
          <w:r>
            <w:fldChar w:fldCharType="separate"/>
          </w:r>
          <w:r>
            <w:t>1</w:t>
          </w:r>
          <w:r>
            <w:fldChar w:fldCharType="end"/>
          </w:r>
          <w:r>
            <w:rPr>
              <w:color w:val="auto"/>
            </w:rPr>
            <w:fldChar w:fldCharType="end"/>
          </w:r>
        </w:p>
        <w:p w14:paraId="3C21AE75">
          <w:pPr>
            <w:pStyle w:val="30"/>
            <w:tabs>
              <w:tab w:val="right" w:leader="dot" w:pos="8902"/>
            </w:tabs>
          </w:pPr>
          <w:r>
            <w:rPr>
              <w:color w:val="auto"/>
            </w:rPr>
            <w:fldChar w:fldCharType="begin"/>
          </w:r>
          <w:r>
            <w:instrText xml:space="preserve"> HYPERLINK \l _Toc27162 </w:instrText>
          </w:r>
          <w:r>
            <w:fldChar w:fldCharType="separate"/>
          </w:r>
          <w:r>
            <w:rPr>
              <w:rFonts w:hint="eastAsia"/>
            </w:rPr>
            <w:t>1.1.1</w:t>
          </w:r>
          <w:r>
            <w:t>评价对象</w:t>
          </w:r>
          <w:r>
            <w:tab/>
          </w:r>
          <w:r>
            <w:fldChar w:fldCharType="begin"/>
          </w:r>
          <w:r>
            <w:instrText xml:space="preserve"> PAGEREF _Toc27162 \h </w:instrText>
          </w:r>
          <w:r>
            <w:fldChar w:fldCharType="separate"/>
          </w:r>
          <w:r>
            <w:t>1</w:t>
          </w:r>
          <w:r>
            <w:fldChar w:fldCharType="end"/>
          </w:r>
          <w:r>
            <w:rPr>
              <w:color w:val="auto"/>
            </w:rPr>
            <w:fldChar w:fldCharType="end"/>
          </w:r>
        </w:p>
        <w:p w14:paraId="1F4711BE">
          <w:pPr>
            <w:pStyle w:val="30"/>
            <w:tabs>
              <w:tab w:val="right" w:leader="dot" w:pos="8902"/>
            </w:tabs>
          </w:pPr>
          <w:r>
            <w:rPr>
              <w:color w:val="auto"/>
            </w:rPr>
            <w:fldChar w:fldCharType="begin"/>
          </w:r>
          <w:r>
            <w:instrText xml:space="preserve"> HYPERLINK \l _Toc12512 </w:instrText>
          </w:r>
          <w:r>
            <w:fldChar w:fldCharType="separate"/>
          </w:r>
          <w:r>
            <w:rPr>
              <w:rFonts w:hint="eastAsia"/>
            </w:rPr>
            <w:t>1.1.2</w:t>
          </w:r>
          <w:r>
            <w:t>评价范围</w:t>
          </w:r>
          <w:r>
            <w:tab/>
          </w:r>
          <w:r>
            <w:fldChar w:fldCharType="begin"/>
          </w:r>
          <w:r>
            <w:instrText xml:space="preserve"> PAGEREF _Toc12512 \h </w:instrText>
          </w:r>
          <w:r>
            <w:fldChar w:fldCharType="separate"/>
          </w:r>
          <w:r>
            <w:t>1</w:t>
          </w:r>
          <w:r>
            <w:fldChar w:fldCharType="end"/>
          </w:r>
          <w:r>
            <w:rPr>
              <w:color w:val="auto"/>
            </w:rPr>
            <w:fldChar w:fldCharType="end"/>
          </w:r>
        </w:p>
        <w:p w14:paraId="1CB886EB">
          <w:pPr>
            <w:pStyle w:val="48"/>
            <w:tabs>
              <w:tab w:val="right" w:leader="dot" w:pos="8902"/>
            </w:tabs>
          </w:pPr>
          <w:r>
            <w:rPr>
              <w:color w:val="auto"/>
            </w:rPr>
            <w:fldChar w:fldCharType="begin"/>
          </w:r>
          <w:r>
            <w:instrText xml:space="preserve"> HYPERLINK \l _Toc16285 </w:instrText>
          </w:r>
          <w:r>
            <w:fldChar w:fldCharType="separate"/>
          </w:r>
          <w:r>
            <w:rPr>
              <w:rFonts w:hint="eastAsia"/>
            </w:rPr>
            <w:t>1.2</w:t>
          </w:r>
          <w:r>
            <w:t>评价依据</w:t>
          </w:r>
          <w:r>
            <w:tab/>
          </w:r>
          <w:r>
            <w:fldChar w:fldCharType="begin"/>
          </w:r>
          <w:r>
            <w:instrText xml:space="preserve"> PAGEREF _Toc16285 \h </w:instrText>
          </w:r>
          <w:r>
            <w:fldChar w:fldCharType="separate"/>
          </w:r>
          <w:r>
            <w:t>1</w:t>
          </w:r>
          <w:r>
            <w:fldChar w:fldCharType="end"/>
          </w:r>
          <w:r>
            <w:rPr>
              <w:color w:val="auto"/>
            </w:rPr>
            <w:fldChar w:fldCharType="end"/>
          </w:r>
        </w:p>
        <w:p w14:paraId="4391501E">
          <w:pPr>
            <w:pStyle w:val="30"/>
            <w:tabs>
              <w:tab w:val="right" w:leader="dot" w:pos="8902"/>
            </w:tabs>
          </w:pPr>
          <w:r>
            <w:rPr>
              <w:color w:val="auto"/>
            </w:rPr>
            <w:fldChar w:fldCharType="begin"/>
          </w:r>
          <w:r>
            <w:instrText xml:space="preserve"> HYPERLINK \l _Toc20839 </w:instrText>
          </w:r>
          <w:r>
            <w:fldChar w:fldCharType="separate"/>
          </w:r>
          <w:r>
            <w:rPr>
              <w:rFonts w:hint="eastAsia"/>
            </w:rPr>
            <w:t>1.2.1</w:t>
          </w:r>
          <w:r>
            <w:t>法律法规</w:t>
          </w:r>
          <w:r>
            <w:tab/>
          </w:r>
          <w:r>
            <w:fldChar w:fldCharType="begin"/>
          </w:r>
          <w:r>
            <w:instrText xml:space="preserve"> PAGEREF _Toc20839 \h </w:instrText>
          </w:r>
          <w:r>
            <w:fldChar w:fldCharType="separate"/>
          </w:r>
          <w:r>
            <w:t>1</w:t>
          </w:r>
          <w:r>
            <w:fldChar w:fldCharType="end"/>
          </w:r>
          <w:r>
            <w:rPr>
              <w:color w:val="auto"/>
            </w:rPr>
            <w:fldChar w:fldCharType="end"/>
          </w:r>
        </w:p>
        <w:p w14:paraId="5343D11D">
          <w:pPr>
            <w:pStyle w:val="30"/>
            <w:tabs>
              <w:tab w:val="right" w:leader="dot" w:pos="8902"/>
            </w:tabs>
          </w:pPr>
          <w:r>
            <w:rPr>
              <w:color w:val="auto"/>
            </w:rPr>
            <w:fldChar w:fldCharType="begin"/>
          </w:r>
          <w:r>
            <w:instrText xml:space="preserve"> HYPERLINK \l _Toc27768 </w:instrText>
          </w:r>
          <w:r>
            <w:fldChar w:fldCharType="separate"/>
          </w:r>
          <w:r>
            <w:rPr>
              <w:rFonts w:hint="eastAsia"/>
            </w:rPr>
            <w:t>1.2.2</w:t>
          </w:r>
          <w:r>
            <w:t>标准规范</w:t>
          </w:r>
          <w:r>
            <w:tab/>
          </w:r>
          <w:r>
            <w:fldChar w:fldCharType="begin"/>
          </w:r>
          <w:r>
            <w:instrText xml:space="preserve"> PAGEREF _Toc27768 \h </w:instrText>
          </w:r>
          <w:r>
            <w:fldChar w:fldCharType="separate"/>
          </w:r>
          <w:r>
            <w:t>5</w:t>
          </w:r>
          <w:r>
            <w:fldChar w:fldCharType="end"/>
          </w:r>
          <w:r>
            <w:rPr>
              <w:color w:val="auto"/>
            </w:rPr>
            <w:fldChar w:fldCharType="end"/>
          </w:r>
        </w:p>
        <w:p w14:paraId="27E74611">
          <w:pPr>
            <w:pStyle w:val="30"/>
            <w:tabs>
              <w:tab w:val="right" w:leader="dot" w:pos="8902"/>
            </w:tabs>
          </w:pPr>
          <w:r>
            <w:rPr>
              <w:color w:val="auto"/>
            </w:rPr>
            <w:fldChar w:fldCharType="begin"/>
          </w:r>
          <w:r>
            <w:instrText xml:space="preserve"> HYPERLINK \l _Toc19109 </w:instrText>
          </w:r>
          <w:r>
            <w:fldChar w:fldCharType="separate"/>
          </w:r>
          <w:r>
            <w:rPr>
              <w:rFonts w:hint="eastAsia"/>
            </w:rPr>
            <w:t>1.2.3</w:t>
          </w:r>
          <w:r>
            <w:t>建设项目合法证明文件</w:t>
          </w:r>
          <w:r>
            <w:tab/>
          </w:r>
          <w:r>
            <w:fldChar w:fldCharType="begin"/>
          </w:r>
          <w:r>
            <w:instrText xml:space="preserve"> PAGEREF _Toc19109 \h </w:instrText>
          </w:r>
          <w:r>
            <w:fldChar w:fldCharType="separate"/>
          </w:r>
          <w:r>
            <w:t>6</w:t>
          </w:r>
          <w:r>
            <w:fldChar w:fldCharType="end"/>
          </w:r>
          <w:r>
            <w:rPr>
              <w:color w:val="auto"/>
            </w:rPr>
            <w:fldChar w:fldCharType="end"/>
          </w:r>
        </w:p>
        <w:p w14:paraId="1B6E5CB4">
          <w:pPr>
            <w:pStyle w:val="30"/>
            <w:tabs>
              <w:tab w:val="right" w:leader="dot" w:pos="8902"/>
            </w:tabs>
          </w:pPr>
          <w:r>
            <w:rPr>
              <w:color w:val="auto"/>
            </w:rPr>
            <w:fldChar w:fldCharType="begin"/>
          </w:r>
          <w:r>
            <w:instrText xml:space="preserve"> HYPERLINK \l _Toc32753 </w:instrText>
          </w:r>
          <w:r>
            <w:fldChar w:fldCharType="separate"/>
          </w:r>
          <w:r>
            <w:rPr>
              <w:rFonts w:hint="eastAsia"/>
            </w:rPr>
            <w:t>1.2.4</w:t>
          </w:r>
          <w:r>
            <w:t>建设项目技术资料</w:t>
          </w:r>
          <w:r>
            <w:tab/>
          </w:r>
          <w:r>
            <w:fldChar w:fldCharType="begin"/>
          </w:r>
          <w:r>
            <w:instrText xml:space="preserve"> PAGEREF _Toc32753 \h </w:instrText>
          </w:r>
          <w:r>
            <w:fldChar w:fldCharType="separate"/>
          </w:r>
          <w:r>
            <w:t>6</w:t>
          </w:r>
          <w:r>
            <w:fldChar w:fldCharType="end"/>
          </w:r>
          <w:r>
            <w:rPr>
              <w:color w:val="auto"/>
            </w:rPr>
            <w:fldChar w:fldCharType="end"/>
          </w:r>
        </w:p>
        <w:p w14:paraId="4F1A7299">
          <w:pPr>
            <w:pStyle w:val="30"/>
            <w:tabs>
              <w:tab w:val="right" w:leader="dot" w:pos="8902"/>
            </w:tabs>
          </w:pPr>
          <w:r>
            <w:rPr>
              <w:color w:val="auto"/>
            </w:rPr>
            <w:fldChar w:fldCharType="begin"/>
          </w:r>
          <w:r>
            <w:instrText xml:space="preserve"> HYPERLINK \l _Toc5827 </w:instrText>
          </w:r>
          <w:r>
            <w:fldChar w:fldCharType="separate"/>
          </w:r>
          <w:r>
            <w:rPr>
              <w:rFonts w:hint="eastAsia"/>
            </w:rPr>
            <w:t>1.2.5</w:t>
          </w:r>
          <w:r>
            <w:t>其他评价依据</w:t>
          </w:r>
          <w:r>
            <w:tab/>
          </w:r>
          <w:r>
            <w:fldChar w:fldCharType="begin"/>
          </w:r>
          <w:r>
            <w:instrText xml:space="preserve"> PAGEREF _Toc5827 \h </w:instrText>
          </w:r>
          <w:r>
            <w:fldChar w:fldCharType="separate"/>
          </w:r>
          <w:r>
            <w:t>7</w:t>
          </w:r>
          <w:r>
            <w:fldChar w:fldCharType="end"/>
          </w:r>
          <w:r>
            <w:rPr>
              <w:color w:val="auto"/>
            </w:rPr>
            <w:fldChar w:fldCharType="end"/>
          </w:r>
        </w:p>
        <w:p w14:paraId="437FF468">
          <w:pPr>
            <w:pStyle w:val="48"/>
            <w:tabs>
              <w:tab w:val="right" w:leader="dot" w:pos="8902"/>
            </w:tabs>
          </w:pPr>
          <w:r>
            <w:rPr>
              <w:color w:val="auto"/>
            </w:rPr>
            <w:fldChar w:fldCharType="begin"/>
          </w:r>
          <w:r>
            <w:instrText xml:space="preserve"> HYPERLINK \l _Toc31647 </w:instrText>
          </w:r>
          <w:r>
            <w:fldChar w:fldCharType="separate"/>
          </w:r>
          <w:r>
            <w:rPr>
              <w:rFonts w:hint="eastAsia"/>
            </w:rPr>
            <w:t>1.3</w:t>
          </w:r>
          <w:r>
            <w:t>评价原则</w:t>
          </w:r>
          <w:r>
            <w:tab/>
          </w:r>
          <w:r>
            <w:fldChar w:fldCharType="begin"/>
          </w:r>
          <w:r>
            <w:instrText xml:space="preserve"> PAGEREF _Toc31647 \h </w:instrText>
          </w:r>
          <w:r>
            <w:fldChar w:fldCharType="separate"/>
          </w:r>
          <w:r>
            <w:t>7</w:t>
          </w:r>
          <w:r>
            <w:fldChar w:fldCharType="end"/>
          </w:r>
          <w:r>
            <w:rPr>
              <w:color w:val="auto"/>
            </w:rPr>
            <w:fldChar w:fldCharType="end"/>
          </w:r>
        </w:p>
        <w:p w14:paraId="0450F889">
          <w:pPr>
            <w:pStyle w:val="48"/>
            <w:tabs>
              <w:tab w:val="right" w:leader="dot" w:pos="8902"/>
            </w:tabs>
          </w:pPr>
          <w:r>
            <w:rPr>
              <w:color w:val="auto"/>
            </w:rPr>
            <w:fldChar w:fldCharType="begin"/>
          </w:r>
          <w:r>
            <w:instrText xml:space="preserve"> HYPERLINK \l _Toc10436 </w:instrText>
          </w:r>
          <w:r>
            <w:fldChar w:fldCharType="separate"/>
          </w:r>
          <w:r>
            <w:rPr>
              <w:rFonts w:hint="eastAsia"/>
            </w:rPr>
            <w:t>1.4</w:t>
          </w:r>
          <w:r>
            <w:t>评价程序</w:t>
          </w:r>
          <w:r>
            <w:tab/>
          </w:r>
          <w:r>
            <w:fldChar w:fldCharType="begin"/>
          </w:r>
          <w:r>
            <w:instrText xml:space="preserve"> PAGEREF _Toc10436 \h </w:instrText>
          </w:r>
          <w:r>
            <w:fldChar w:fldCharType="separate"/>
          </w:r>
          <w:r>
            <w:t>7</w:t>
          </w:r>
          <w:r>
            <w:fldChar w:fldCharType="end"/>
          </w:r>
          <w:r>
            <w:rPr>
              <w:color w:val="auto"/>
            </w:rPr>
            <w:fldChar w:fldCharType="end"/>
          </w:r>
        </w:p>
        <w:p w14:paraId="25D7A145">
          <w:pPr>
            <w:pStyle w:val="48"/>
            <w:tabs>
              <w:tab w:val="right" w:leader="dot" w:pos="8902"/>
            </w:tabs>
          </w:pPr>
          <w:r>
            <w:rPr>
              <w:color w:val="auto"/>
            </w:rPr>
            <w:fldChar w:fldCharType="begin"/>
          </w:r>
          <w:r>
            <w:instrText xml:space="preserve"> HYPERLINK \l _Toc18201 </w:instrText>
          </w:r>
          <w:r>
            <w:fldChar w:fldCharType="separate"/>
          </w:r>
          <w:r>
            <w:rPr>
              <w:rFonts w:hint="eastAsia"/>
            </w:rPr>
            <w:t>1.5</w:t>
          </w:r>
          <w:r>
            <w:t>评价报告使用权声明</w:t>
          </w:r>
          <w:r>
            <w:tab/>
          </w:r>
          <w:r>
            <w:fldChar w:fldCharType="begin"/>
          </w:r>
          <w:r>
            <w:instrText xml:space="preserve"> PAGEREF _Toc18201 \h </w:instrText>
          </w:r>
          <w:r>
            <w:fldChar w:fldCharType="separate"/>
          </w:r>
          <w:r>
            <w:t>10</w:t>
          </w:r>
          <w:r>
            <w:fldChar w:fldCharType="end"/>
          </w:r>
          <w:r>
            <w:rPr>
              <w:color w:val="auto"/>
            </w:rPr>
            <w:fldChar w:fldCharType="end"/>
          </w:r>
        </w:p>
        <w:p w14:paraId="6A2C8308">
          <w:pPr>
            <w:pStyle w:val="48"/>
            <w:tabs>
              <w:tab w:val="right" w:leader="dot" w:pos="8902"/>
            </w:tabs>
          </w:pPr>
          <w:r>
            <w:rPr>
              <w:color w:val="auto"/>
            </w:rPr>
            <w:fldChar w:fldCharType="begin"/>
          </w:r>
          <w:r>
            <w:instrText xml:space="preserve"> HYPERLINK \l _Toc4094 </w:instrText>
          </w:r>
          <w:r>
            <w:fldChar w:fldCharType="separate"/>
          </w:r>
          <w:r>
            <w:rPr>
              <w:rFonts w:hint="eastAsia" w:cs="Times New Roman"/>
            </w:rPr>
            <w:t>1.6</w:t>
          </w:r>
          <w:r>
            <w:t>评价基准日</w:t>
          </w:r>
          <w:r>
            <w:tab/>
          </w:r>
          <w:r>
            <w:fldChar w:fldCharType="begin"/>
          </w:r>
          <w:r>
            <w:instrText xml:space="preserve"> PAGEREF _Toc4094 \h </w:instrText>
          </w:r>
          <w:r>
            <w:fldChar w:fldCharType="separate"/>
          </w:r>
          <w:r>
            <w:t>10</w:t>
          </w:r>
          <w:r>
            <w:fldChar w:fldCharType="end"/>
          </w:r>
          <w:r>
            <w:rPr>
              <w:color w:val="auto"/>
            </w:rPr>
            <w:fldChar w:fldCharType="end"/>
          </w:r>
        </w:p>
        <w:p w14:paraId="00ED874B">
          <w:pPr>
            <w:pStyle w:val="39"/>
            <w:tabs>
              <w:tab w:val="right" w:leader="dot" w:pos="8902"/>
            </w:tabs>
          </w:pPr>
          <w:r>
            <w:rPr>
              <w:color w:val="auto"/>
            </w:rPr>
            <w:fldChar w:fldCharType="begin"/>
          </w:r>
          <w:r>
            <w:instrText xml:space="preserve"> HYPERLINK \l _Toc18960 </w:instrText>
          </w:r>
          <w:r>
            <w:fldChar w:fldCharType="separate"/>
          </w:r>
          <w:r>
            <w:rPr>
              <w:rFonts w:hint="eastAsia"/>
            </w:rPr>
            <w:t>2.</w:t>
          </w:r>
          <w:r>
            <w:t>评价项目概述</w:t>
          </w:r>
          <w:r>
            <w:tab/>
          </w:r>
          <w:r>
            <w:fldChar w:fldCharType="begin"/>
          </w:r>
          <w:r>
            <w:instrText xml:space="preserve"> PAGEREF _Toc18960 \h </w:instrText>
          </w:r>
          <w:r>
            <w:fldChar w:fldCharType="separate"/>
          </w:r>
          <w:r>
            <w:t>11</w:t>
          </w:r>
          <w:r>
            <w:fldChar w:fldCharType="end"/>
          </w:r>
          <w:r>
            <w:rPr>
              <w:color w:val="auto"/>
            </w:rPr>
            <w:fldChar w:fldCharType="end"/>
          </w:r>
        </w:p>
        <w:p w14:paraId="27D2536A">
          <w:pPr>
            <w:pStyle w:val="48"/>
            <w:tabs>
              <w:tab w:val="right" w:leader="dot" w:pos="8902"/>
            </w:tabs>
          </w:pPr>
          <w:r>
            <w:rPr>
              <w:color w:val="auto"/>
            </w:rPr>
            <w:fldChar w:fldCharType="begin"/>
          </w:r>
          <w:r>
            <w:instrText xml:space="preserve"> HYPERLINK \l _Toc7241 </w:instrText>
          </w:r>
          <w:r>
            <w:fldChar w:fldCharType="separate"/>
          </w:r>
          <w:r>
            <w:rPr>
              <w:rFonts w:hint="eastAsia" w:cs="Times New Roman"/>
            </w:rPr>
            <w:t>2.1</w:t>
          </w:r>
          <w:r>
            <w:rPr>
              <w:rFonts w:cs="Times New Roman"/>
            </w:rPr>
            <w:t>建设单位概况</w:t>
          </w:r>
          <w:r>
            <w:tab/>
          </w:r>
          <w:r>
            <w:fldChar w:fldCharType="begin"/>
          </w:r>
          <w:r>
            <w:instrText xml:space="preserve"> PAGEREF _Toc7241 \h </w:instrText>
          </w:r>
          <w:r>
            <w:fldChar w:fldCharType="separate"/>
          </w:r>
          <w:r>
            <w:t>11</w:t>
          </w:r>
          <w:r>
            <w:fldChar w:fldCharType="end"/>
          </w:r>
          <w:r>
            <w:rPr>
              <w:color w:val="auto"/>
            </w:rPr>
            <w:fldChar w:fldCharType="end"/>
          </w:r>
        </w:p>
        <w:p w14:paraId="1A5AD7AA">
          <w:pPr>
            <w:pStyle w:val="30"/>
            <w:tabs>
              <w:tab w:val="right" w:leader="dot" w:pos="8902"/>
            </w:tabs>
          </w:pPr>
          <w:r>
            <w:rPr>
              <w:color w:val="auto"/>
            </w:rPr>
            <w:fldChar w:fldCharType="begin"/>
          </w:r>
          <w:r>
            <w:instrText xml:space="preserve"> HYPERLINK \l _Toc10302 </w:instrText>
          </w:r>
          <w:r>
            <w:fldChar w:fldCharType="separate"/>
          </w:r>
          <w:r>
            <w:rPr>
              <w:rFonts w:hint="eastAsia"/>
            </w:rPr>
            <w:t>2.1.1</w:t>
          </w:r>
          <w:r>
            <w:t>企业概况</w:t>
          </w:r>
          <w:r>
            <w:tab/>
          </w:r>
          <w:r>
            <w:fldChar w:fldCharType="begin"/>
          </w:r>
          <w:r>
            <w:instrText xml:space="preserve"> PAGEREF _Toc10302 \h </w:instrText>
          </w:r>
          <w:r>
            <w:fldChar w:fldCharType="separate"/>
          </w:r>
          <w:r>
            <w:t>11</w:t>
          </w:r>
          <w:r>
            <w:fldChar w:fldCharType="end"/>
          </w:r>
          <w:r>
            <w:rPr>
              <w:color w:val="auto"/>
            </w:rPr>
            <w:fldChar w:fldCharType="end"/>
          </w:r>
        </w:p>
        <w:p w14:paraId="306636BE">
          <w:pPr>
            <w:pStyle w:val="30"/>
            <w:tabs>
              <w:tab w:val="right" w:leader="dot" w:pos="8902"/>
            </w:tabs>
          </w:pPr>
          <w:r>
            <w:rPr>
              <w:color w:val="auto"/>
            </w:rPr>
            <w:fldChar w:fldCharType="begin"/>
          </w:r>
          <w:r>
            <w:instrText xml:space="preserve"> HYPERLINK \l _Toc12464 </w:instrText>
          </w:r>
          <w:r>
            <w:fldChar w:fldCharType="separate"/>
          </w:r>
          <w:r>
            <w:rPr>
              <w:rFonts w:hint="eastAsia"/>
            </w:rPr>
            <w:t>2.1.2</w:t>
          </w:r>
          <w:r>
            <w:t>行政区划、地理位置与交通</w:t>
          </w:r>
          <w:r>
            <w:tab/>
          </w:r>
          <w:r>
            <w:fldChar w:fldCharType="begin"/>
          </w:r>
          <w:r>
            <w:instrText xml:space="preserve"> PAGEREF _Toc12464 \h </w:instrText>
          </w:r>
          <w:r>
            <w:fldChar w:fldCharType="separate"/>
          </w:r>
          <w:r>
            <w:t>11</w:t>
          </w:r>
          <w:r>
            <w:fldChar w:fldCharType="end"/>
          </w:r>
          <w:r>
            <w:rPr>
              <w:color w:val="auto"/>
            </w:rPr>
            <w:fldChar w:fldCharType="end"/>
          </w:r>
        </w:p>
        <w:p w14:paraId="6601C868">
          <w:pPr>
            <w:pStyle w:val="48"/>
            <w:tabs>
              <w:tab w:val="right" w:leader="dot" w:pos="8902"/>
            </w:tabs>
          </w:pPr>
          <w:r>
            <w:rPr>
              <w:color w:val="auto"/>
            </w:rPr>
            <w:fldChar w:fldCharType="begin"/>
          </w:r>
          <w:r>
            <w:instrText xml:space="preserve"> HYPERLINK \l _Toc13780 </w:instrText>
          </w:r>
          <w:r>
            <w:fldChar w:fldCharType="separate"/>
          </w:r>
          <w:r>
            <w:rPr>
              <w:rFonts w:hint="eastAsia" w:cs="Times New Roman"/>
            </w:rPr>
            <w:t>2.2</w:t>
          </w:r>
          <w:r>
            <w:rPr>
              <w:rFonts w:cs="Times New Roman"/>
            </w:rPr>
            <w:t>自然环境概况</w:t>
          </w:r>
          <w:r>
            <w:tab/>
          </w:r>
          <w:r>
            <w:fldChar w:fldCharType="begin"/>
          </w:r>
          <w:r>
            <w:instrText xml:space="preserve"> PAGEREF _Toc13780 \h </w:instrText>
          </w:r>
          <w:r>
            <w:fldChar w:fldCharType="separate"/>
          </w:r>
          <w:r>
            <w:t>12</w:t>
          </w:r>
          <w:r>
            <w:fldChar w:fldCharType="end"/>
          </w:r>
          <w:r>
            <w:rPr>
              <w:color w:val="auto"/>
            </w:rPr>
            <w:fldChar w:fldCharType="end"/>
          </w:r>
        </w:p>
        <w:p w14:paraId="6C0AA06C">
          <w:pPr>
            <w:pStyle w:val="30"/>
            <w:tabs>
              <w:tab w:val="right" w:leader="dot" w:pos="8902"/>
            </w:tabs>
          </w:pPr>
          <w:r>
            <w:rPr>
              <w:color w:val="auto"/>
            </w:rPr>
            <w:fldChar w:fldCharType="begin"/>
          </w:r>
          <w:r>
            <w:instrText xml:space="preserve"> HYPERLINK \l _Toc8365 </w:instrText>
          </w:r>
          <w:r>
            <w:fldChar w:fldCharType="separate"/>
          </w:r>
          <w:r>
            <w:rPr>
              <w:rFonts w:hint="eastAsia"/>
            </w:rPr>
            <w:t>2.2.1</w:t>
          </w:r>
          <w:r>
            <w:t>地形地貌</w:t>
          </w:r>
          <w:r>
            <w:tab/>
          </w:r>
          <w:r>
            <w:fldChar w:fldCharType="begin"/>
          </w:r>
          <w:r>
            <w:instrText xml:space="preserve"> PAGEREF _Toc8365 \h </w:instrText>
          </w:r>
          <w:r>
            <w:fldChar w:fldCharType="separate"/>
          </w:r>
          <w:r>
            <w:t>12</w:t>
          </w:r>
          <w:r>
            <w:fldChar w:fldCharType="end"/>
          </w:r>
          <w:r>
            <w:rPr>
              <w:color w:val="auto"/>
            </w:rPr>
            <w:fldChar w:fldCharType="end"/>
          </w:r>
        </w:p>
        <w:p w14:paraId="4B66A8DA">
          <w:pPr>
            <w:pStyle w:val="30"/>
            <w:tabs>
              <w:tab w:val="right" w:leader="dot" w:pos="8902"/>
            </w:tabs>
          </w:pPr>
          <w:r>
            <w:rPr>
              <w:color w:val="auto"/>
            </w:rPr>
            <w:fldChar w:fldCharType="begin"/>
          </w:r>
          <w:r>
            <w:instrText xml:space="preserve"> HYPERLINK \l _Toc12361 </w:instrText>
          </w:r>
          <w:r>
            <w:fldChar w:fldCharType="separate"/>
          </w:r>
          <w:r>
            <w:rPr>
              <w:rFonts w:hint="eastAsia"/>
            </w:rPr>
            <w:t>2.2.2</w:t>
          </w:r>
          <w:r>
            <w:t>气象、水文条件</w:t>
          </w:r>
          <w:r>
            <w:tab/>
          </w:r>
          <w:r>
            <w:fldChar w:fldCharType="begin"/>
          </w:r>
          <w:r>
            <w:instrText xml:space="preserve"> PAGEREF _Toc12361 \h </w:instrText>
          </w:r>
          <w:r>
            <w:fldChar w:fldCharType="separate"/>
          </w:r>
          <w:r>
            <w:t>13</w:t>
          </w:r>
          <w:r>
            <w:fldChar w:fldCharType="end"/>
          </w:r>
          <w:r>
            <w:rPr>
              <w:color w:val="auto"/>
            </w:rPr>
            <w:fldChar w:fldCharType="end"/>
          </w:r>
        </w:p>
        <w:p w14:paraId="7AF5139C">
          <w:pPr>
            <w:pStyle w:val="30"/>
            <w:tabs>
              <w:tab w:val="right" w:leader="dot" w:pos="8902"/>
            </w:tabs>
          </w:pPr>
          <w:r>
            <w:rPr>
              <w:color w:val="auto"/>
            </w:rPr>
            <w:fldChar w:fldCharType="begin"/>
          </w:r>
          <w:r>
            <w:instrText xml:space="preserve"> HYPERLINK \l _Toc5167 </w:instrText>
          </w:r>
          <w:r>
            <w:fldChar w:fldCharType="separate"/>
          </w:r>
          <w:r>
            <w:rPr>
              <w:rFonts w:hint="eastAsia"/>
            </w:rPr>
            <w:t>2.2.3</w:t>
          </w:r>
          <w:r>
            <w:t>地震</w:t>
          </w:r>
          <w:r>
            <w:tab/>
          </w:r>
          <w:r>
            <w:fldChar w:fldCharType="begin"/>
          </w:r>
          <w:r>
            <w:instrText xml:space="preserve"> PAGEREF _Toc5167 \h </w:instrText>
          </w:r>
          <w:r>
            <w:fldChar w:fldCharType="separate"/>
          </w:r>
          <w:r>
            <w:t>14</w:t>
          </w:r>
          <w:r>
            <w:fldChar w:fldCharType="end"/>
          </w:r>
          <w:r>
            <w:rPr>
              <w:color w:val="auto"/>
            </w:rPr>
            <w:fldChar w:fldCharType="end"/>
          </w:r>
        </w:p>
        <w:p w14:paraId="10CD5642">
          <w:pPr>
            <w:pStyle w:val="48"/>
            <w:tabs>
              <w:tab w:val="right" w:leader="dot" w:pos="8902"/>
            </w:tabs>
          </w:pPr>
          <w:r>
            <w:rPr>
              <w:color w:val="auto"/>
            </w:rPr>
            <w:fldChar w:fldCharType="begin"/>
          </w:r>
          <w:r>
            <w:instrText xml:space="preserve"> HYPERLINK \l _Toc26301 </w:instrText>
          </w:r>
          <w:r>
            <w:fldChar w:fldCharType="separate"/>
          </w:r>
          <w:r>
            <w:rPr>
              <w:rFonts w:hint="eastAsia" w:cs="Times New Roman"/>
            </w:rPr>
            <w:t>2.3</w:t>
          </w:r>
          <w:r>
            <w:rPr>
              <w:rFonts w:cs="Times New Roman"/>
            </w:rPr>
            <w:t>地质概况</w:t>
          </w:r>
          <w:r>
            <w:tab/>
          </w:r>
          <w:r>
            <w:fldChar w:fldCharType="begin"/>
          </w:r>
          <w:r>
            <w:instrText xml:space="preserve"> PAGEREF _Toc26301 \h </w:instrText>
          </w:r>
          <w:r>
            <w:fldChar w:fldCharType="separate"/>
          </w:r>
          <w:r>
            <w:t>15</w:t>
          </w:r>
          <w:r>
            <w:fldChar w:fldCharType="end"/>
          </w:r>
          <w:r>
            <w:rPr>
              <w:color w:val="auto"/>
            </w:rPr>
            <w:fldChar w:fldCharType="end"/>
          </w:r>
        </w:p>
        <w:p w14:paraId="649F5486">
          <w:pPr>
            <w:pStyle w:val="30"/>
            <w:tabs>
              <w:tab w:val="right" w:leader="dot" w:pos="8902"/>
            </w:tabs>
          </w:pPr>
          <w:r>
            <w:rPr>
              <w:color w:val="auto"/>
            </w:rPr>
            <w:fldChar w:fldCharType="begin"/>
          </w:r>
          <w:r>
            <w:instrText xml:space="preserve"> HYPERLINK \l _Toc4357 </w:instrText>
          </w:r>
          <w:r>
            <w:fldChar w:fldCharType="separate"/>
          </w:r>
          <w:r>
            <w:rPr>
              <w:rFonts w:hint="eastAsia"/>
            </w:rPr>
            <w:t>2.3.1</w:t>
          </w:r>
          <w:r>
            <w:t>工程地质条件</w:t>
          </w:r>
          <w:r>
            <w:tab/>
          </w:r>
          <w:r>
            <w:fldChar w:fldCharType="begin"/>
          </w:r>
          <w:r>
            <w:instrText xml:space="preserve"> PAGEREF _Toc4357 \h </w:instrText>
          </w:r>
          <w:r>
            <w:fldChar w:fldCharType="separate"/>
          </w:r>
          <w:r>
            <w:t>15</w:t>
          </w:r>
          <w:r>
            <w:fldChar w:fldCharType="end"/>
          </w:r>
          <w:r>
            <w:rPr>
              <w:color w:val="auto"/>
            </w:rPr>
            <w:fldChar w:fldCharType="end"/>
          </w:r>
        </w:p>
        <w:p w14:paraId="2BC71735">
          <w:pPr>
            <w:pStyle w:val="30"/>
            <w:tabs>
              <w:tab w:val="right" w:leader="dot" w:pos="8902"/>
            </w:tabs>
          </w:pPr>
          <w:r>
            <w:rPr>
              <w:color w:val="auto"/>
            </w:rPr>
            <w:fldChar w:fldCharType="begin"/>
          </w:r>
          <w:r>
            <w:instrText xml:space="preserve"> HYPERLINK \l _Toc5704 </w:instrText>
          </w:r>
          <w:r>
            <w:fldChar w:fldCharType="separate"/>
          </w:r>
          <w:r>
            <w:rPr>
              <w:rFonts w:hint="eastAsia"/>
            </w:rPr>
            <w:t>2.3.2</w:t>
          </w:r>
          <w:r>
            <w:t>水文地质条件</w:t>
          </w:r>
          <w:r>
            <w:tab/>
          </w:r>
          <w:r>
            <w:fldChar w:fldCharType="begin"/>
          </w:r>
          <w:r>
            <w:instrText xml:space="preserve"> PAGEREF _Toc5704 \h </w:instrText>
          </w:r>
          <w:r>
            <w:fldChar w:fldCharType="separate"/>
          </w:r>
          <w:r>
            <w:t>15</w:t>
          </w:r>
          <w:r>
            <w:fldChar w:fldCharType="end"/>
          </w:r>
          <w:r>
            <w:rPr>
              <w:color w:val="auto"/>
            </w:rPr>
            <w:fldChar w:fldCharType="end"/>
          </w:r>
        </w:p>
        <w:p w14:paraId="00ED80ED">
          <w:pPr>
            <w:pStyle w:val="48"/>
            <w:tabs>
              <w:tab w:val="right" w:leader="dot" w:pos="8902"/>
            </w:tabs>
          </w:pPr>
          <w:r>
            <w:rPr>
              <w:color w:val="auto"/>
            </w:rPr>
            <w:fldChar w:fldCharType="begin"/>
          </w:r>
          <w:r>
            <w:instrText xml:space="preserve"> HYPERLINK \l _Toc31838 </w:instrText>
          </w:r>
          <w:r>
            <w:fldChar w:fldCharType="separate"/>
          </w:r>
          <w:r>
            <w:rPr>
              <w:rFonts w:hint="eastAsia" w:cs="Times New Roman"/>
            </w:rPr>
            <w:t>2.4</w:t>
          </w:r>
          <w:r>
            <w:rPr>
              <w:rFonts w:hint="eastAsia" w:cs="Times New Roman"/>
              <w:lang w:val="en-US" w:eastAsia="zh-CN"/>
            </w:rPr>
            <w:t>项目</w:t>
          </w:r>
          <w:r>
            <w:rPr>
              <w:rFonts w:cs="Times New Roman"/>
            </w:rPr>
            <w:t>概况</w:t>
          </w:r>
          <w:r>
            <w:tab/>
          </w:r>
          <w:r>
            <w:fldChar w:fldCharType="begin"/>
          </w:r>
          <w:r>
            <w:instrText xml:space="preserve"> PAGEREF _Toc31838 \h </w:instrText>
          </w:r>
          <w:r>
            <w:fldChar w:fldCharType="separate"/>
          </w:r>
          <w:r>
            <w:t>16</w:t>
          </w:r>
          <w:r>
            <w:fldChar w:fldCharType="end"/>
          </w:r>
          <w:r>
            <w:rPr>
              <w:color w:val="auto"/>
            </w:rPr>
            <w:fldChar w:fldCharType="end"/>
          </w:r>
        </w:p>
        <w:p w14:paraId="5F0391AE">
          <w:pPr>
            <w:pStyle w:val="30"/>
            <w:tabs>
              <w:tab w:val="right" w:leader="dot" w:pos="8902"/>
            </w:tabs>
          </w:pPr>
          <w:r>
            <w:rPr>
              <w:color w:val="auto"/>
            </w:rPr>
            <w:fldChar w:fldCharType="begin"/>
          </w:r>
          <w:r>
            <w:instrText xml:space="preserve"> HYPERLINK \l _Toc8686 </w:instrText>
          </w:r>
          <w:r>
            <w:fldChar w:fldCharType="separate"/>
          </w:r>
          <w:r>
            <w:rPr>
              <w:rFonts w:hint="eastAsia"/>
            </w:rPr>
            <w:t>2.4.1</w:t>
          </w:r>
          <w:r>
            <w:t>尾矿库库址</w:t>
          </w:r>
          <w:r>
            <w:tab/>
          </w:r>
          <w:r>
            <w:fldChar w:fldCharType="begin"/>
          </w:r>
          <w:r>
            <w:instrText xml:space="preserve"> PAGEREF _Toc8686 \h </w:instrText>
          </w:r>
          <w:r>
            <w:fldChar w:fldCharType="separate"/>
          </w:r>
          <w:r>
            <w:t>16</w:t>
          </w:r>
          <w:r>
            <w:fldChar w:fldCharType="end"/>
          </w:r>
          <w:r>
            <w:rPr>
              <w:color w:val="auto"/>
            </w:rPr>
            <w:fldChar w:fldCharType="end"/>
          </w:r>
        </w:p>
        <w:p w14:paraId="132D65BE">
          <w:pPr>
            <w:pStyle w:val="30"/>
            <w:tabs>
              <w:tab w:val="right" w:leader="dot" w:pos="8902"/>
            </w:tabs>
          </w:pPr>
          <w:r>
            <w:rPr>
              <w:color w:val="auto"/>
            </w:rPr>
            <w:fldChar w:fldCharType="begin"/>
          </w:r>
          <w:r>
            <w:instrText xml:space="preserve"> HYPERLINK \l _Toc15737 </w:instrText>
          </w:r>
          <w:r>
            <w:fldChar w:fldCharType="separate"/>
          </w:r>
          <w:r>
            <w:rPr>
              <w:rFonts w:hint="eastAsia"/>
            </w:rPr>
            <w:t>2.4.2周边环境</w:t>
          </w:r>
          <w:r>
            <w:tab/>
          </w:r>
          <w:r>
            <w:fldChar w:fldCharType="begin"/>
          </w:r>
          <w:r>
            <w:instrText xml:space="preserve"> PAGEREF _Toc15737 \h </w:instrText>
          </w:r>
          <w:r>
            <w:fldChar w:fldCharType="separate"/>
          </w:r>
          <w:r>
            <w:t>16</w:t>
          </w:r>
          <w:r>
            <w:fldChar w:fldCharType="end"/>
          </w:r>
          <w:r>
            <w:rPr>
              <w:color w:val="auto"/>
            </w:rPr>
            <w:fldChar w:fldCharType="end"/>
          </w:r>
        </w:p>
        <w:p w14:paraId="5F3511F3">
          <w:pPr>
            <w:pStyle w:val="30"/>
            <w:tabs>
              <w:tab w:val="right" w:leader="dot" w:pos="8902"/>
            </w:tabs>
          </w:pPr>
          <w:r>
            <w:rPr>
              <w:color w:val="auto"/>
            </w:rPr>
            <w:fldChar w:fldCharType="begin"/>
          </w:r>
          <w:r>
            <w:instrText xml:space="preserve"> HYPERLINK \l _Toc19219 </w:instrText>
          </w:r>
          <w:r>
            <w:fldChar w:fldCharType="separate"/>
          </w:r>
          <w:r>
            <w:rPr>
              <w:rFonts w:hint="eastAsia"/>
            </w:rPr>
            <w:t>2.4.3</w:t>
          </w:r>
          <w:r>
            <w:t>库容、等别及建设标准</w:t>
          </w:r>
          <w:r>
            <w:tab/>
          </w:r>
          <w:r>
            <w:fldChar w:fldCharType="begin"/>
          </w:r>
          <w:r>
            <w:instrText xml:space="preserve"> PAGEREF _Toc19219 \h </w:instrText>
          </w:r>
          <w:r>
            <w:fldChar w:fldCharType="separate"/>
          </w:r>
          <w:r>
            <w:t>18</w:t>
          </w:r>
          <w:r>
            <w:fldChar w:fldCharType="end"/>
          </w:r>
          <w:r>
            <w:rPr>
              <w:color w:val="auto"/>
            </w:rPr>
            <w:fldChar w:fldCharType="end"/>
          </w:r>
        </w:p>
        <w:p w14:paraId="27ADCC80">
          <w:pPr>
            <w:pStyle w:val="48"/>
            <w:tabs>
              <w:tab w:val="right" w:leader="dot" w:pos="8902"/>
            </w:tabs>
          </w:pPr>
          <w:r>
            <w:rPr>
              <w:color w:val="auto"/>
            </w:rPr>
            <w:fldChar w:fldCharType="begin"/>
          </w:r>
          <w:r>
            <w:instrText xml:space="preserve"> HYPERLINK \l _Toc12997 </w:instrText>
          </w:r>
          <w:r>
            <w:fldChar w:fldCharType="separate"/>
          </w:r>
          <w:r>
            <w:rPr>
              <w:rFonts w:hint="eastAsia" w:cs="Times New Roman"/>
              <w:lang w:val="en-US" w:eastAsia="zh-CN"/>
            </w:rPr>
            <w:t>2.5闭库工程建设概况</w:t>
          </w:r>
          <w:r>
            <w:tab/>
          </w:r>
          <w:r>
            <w:fldChar w:fldCharType="begin"/>
          </w:r>
          <w:r>
            <w:instrText xml:space="preserve"> PAGEREF _Toc12997 \h </w:instrText>
          </w:r>
          <w:r>
            <w:fldChar w:fldCharType="separate"/>
          </w:r>
          <w:r>
            <w:t>18</w:t>
          </w:r>
          <w:r>
            <w:fldChar w:fldCharType="end"/>
          </w:r>
          <w:r>
            <w:rPr>
              <w:color w:val="auto"/>
            </w:rPr>
            <w:fldChar w:fldCharType="end"/>
          </w:r>
        </w:p>
        <w:p w14:paraId="5CE5E6AD">
          <w:pPr>
            <w:pStyle w:val="30"/>
            <w:tabs>
              <w:tab w:val="right" w:leader="dot" w:pos="8902"/>
            </w:tabs>
          </w:pPr>
          <w:r>
            <w:rPr>
              <w:color w:val="auto"/>
            </w:rPr>
            <w:fldChar w:fldCharType="begin"/>
          </w:r>
          <w:r>
            <w:instrText xml:space="preserve"> HYPERLINK \l _Toc30365 </w:instrText>
          </w:r>
          <w:r>
            <w:fldChar w:fldCharType="separate"/>
          </w:r>
          <w:r>
            <w:rPr>
              <w:rFonts w:hint="eastAsia"/>
            </w:rPr>
            <w:t>2.5.1</w:t>
          </w:r>
          <w:r>
            <w:t>尾矿坝</w:t>
          </w:r>
          <w:r>
            <w:tab/>
          </w:r>
          <w:r>
            <w:fldChar w:fldCharType="begin"/>
          </w:r>
          <w:r>
            <w:instrText xml:space="preserve"> PAGEREF _Toc30365 \h </w:instrText>
          </w:r>
          <w:r>
            <w:fldChar w:fldCharType="separate"/>
          </w:r>
          <w:r>
            <w:t>18</w:t>
          </w:r>
          <w:r>
            <w:fldChar w:fldCharType="end"/>
          </w:r>
          <w:r>
            <w:rPr>
              <w:color w:val="auto"/>
            </w:rPr>
            <w:fldChar w:fldCharType="end"/>
          </w:r>
        </w:p>
        <w:p w14:paraId="128CCF61">
          <w:pPr>
            <w:pStyle w:val="30"/>
            <w:tabs>
              <w:tab w:val="right" w:leader="dot" w:pos="8902"/>
            </w:tabs>
          </w:pPr>
          <w:r>
            <w:rPr>
              <w:color w:val="auto"/>
            </w:rPr>
            <w:fldChar w:fldCharType="begin"/>
          </w:r>
          <w:r>
            <w:instrText xml:space="preserve"> HYPERLINK \l _Toc29944 </w:instrText>
          </w:r>
          <w:r>
            <w:fldChar w:fldCharType="separate"/>
          </w:r>
          <w:r>
            <w:rPr>
              <w:rFonts w:hint="eastAsia"/>
            </w:rPr>
            <w:t>2.5.2闭库后防排洪系统</w:t>
          </w:r>
          <w:r>
            <w:tab/>
          </w:r>
          <w:r>
            <w:fldChar w:fldCharType="begin"/>
          </w:r>
          <w:r>
            <w:instrText xml:space="preserve"> PAGEREF _Toc29944 \h </w:instrText>
          </w:r>
          <w:r>
            <w:fldChar w:fldCharType="separate"/>
          </w:r>
          <w:r>
            <w:t>21</w:t>
          </w:r>
          <w:r>
            <w:fldChar w:fldCharType="end"/>
          </w:r>
          <w:r>
            <w:rPr>
              <w:color w:val="auto"/>
            </w:rPr>
            <w:fldChar w:fldCharType="end"/>
          </w:r>
        </w:p>
        <w:p w14:paraId="6486E31A">
          <w:pPr>
            <w:pStyle w:val="30"/>
            <w:tabs>
              <w:tab w:val="right" w:leader="dot" w:pos="8902"/>
            </w:tabs>
          </w:pPr>
          <w:r>
            <w:rPr>
              <w:color w:val="auto"/>
            </w:rPr>
            <w:fldChar w:fldCharType="begin"/>
          </w:r>
          <w:r>
            <w:instrText xml:space="preserve"> HYPERLINK \l _Toc11311 </w:instrText>
          </w:r>
          <w:r>
            <w:fldChar w:fldCharType="separate"/>
          </w:r>
          <w:r>
            <w:rPr>
              <w:rFonts w:hint="eastAsia"/>
            </w:rPr>
            <w:t>2.5.3</w:t>
          </w:r>
          <w:r>
            <w:t>安全监测</w:t>
          </w:r>
          <w:r>
            <w:tab/>
          </w:r>
          <w:r>
            <w:fldChar w:fldCharType="begin"/>
          </w:r>
          <w:r>
            <w:instrText xml:space="preserve"> PAGEREF _Toc11311 \h </w:instrText>
          </w:r>
          <w:r>
            <w:fldChar w:fldCharType="separate"/>
          </w:r>
          <w:r>
            <w:t>28</w:t>
          </w:r>
          <w:r>
            <w:fldChar w:fldCharType="end"/>
          </w:r>
          <w:r>
            <w:rPr>
              <w:color w:val="auto"/>
            </w:rPr>
            <w:fldChar w:fldCharType="end"/>
          </w:r>
        </w:p>
        <w:p w14:paraId="22CB6B13">
          <w:pPr>
            <w:pStyle w:val="30"/>
            <w:tabs>
              <w:tab w:val="right" w:leader="dot" w:pos="8902"/>
            </w:tabs>
          </w:pPr>
          <w:r>
            <w:rPr>
              <w:color w:val="auto"/>
            </w:rPr>
            <w:fldChar w:fldCharType="begin"/>
          </w:r>
          <w:r>
            <w:instrText xml:space="preserve"> HYPERLINK \l _Toc32743 </w:instrText>
          </w:r>
          <w:r>
            <w:fldChar w:fldCharType="separate"/>
          </w:r>
          <w:r>
            <w:rPr>
              <w:rFonts w:hint="eastAsia"/>
              <w:lang w:val="en-US" w:eastAsia="zh-CN"/>
            </w:rPr>
            <w:t>2.5.4排渗设施</w:t>
          </w:r>
          <w:r>
            <w:tab/>
          </w:r>
          <w:r>
            <w:fldChar w:fldCharType="begin"/>
          </w:r>
          <w:r>
            <w:instrText xml:space="preserve"> PAGEREF _Toc32743 \h </w:instrText>
          </w:r>
          <w:r>
            <w:fldChar w:fldCharType="separate"/>
          </w:r>
          <w:r>
            <w:t>30</w:t>
          </w:r>
          <w:r>
            <w:fldChar w:fldCharType="end"/>
          </w:r>
          <w:r>
            <w:rPr>
              <w:color w:val="auto"/>
            </w:rPr>
            <w:fldChar w:fldCharType="end"/>
          </w:r>
        </w:p>
        <w:p w14:paraId="2AE4536B">
          <w:pPr>
            <w:pStyle w:val="30"/>
            <w:tabs>
              <w:tab w:val="right" w:leader="dot" w:pos="8902"/>
            </w:tabs>
          </w:pPr>
          <w:r>
            <w:rPr>
              <w:color w:val="auto"/>
            </w:rPr>
            <w:fldChar w:fldCharType="begin"/>
          </w:r>
          <w:r>
            <w:instrText xml:space="preserve"> HYPERLINK \l _Toc10264 </w:instrText>
          </w:r>
          <w:r>
            <w:fldChar w:fldCharType="separate"/>
          </w:r>
          <w:r>
            <w:rPr>
              <w:rFonts w:hint="eastAsia"/>
              <w:lang w:val="en-US" w:eastAsia="zh-CN"/>
            </w:rPr>
            <w:t>2.5.5尾矿库覆</w:t>
          </w:r>
          <w:r>
            <w:rPr>
              <w:rFonts w:hint="eastAsia"/>
            </w:rPr>
            <w:t>土</w:t>
          </w:r>
          <w:r>
            <w:rPr>
              <w:rFonts w:hint="eastAsia"/>
              <w:lang w:val="en-US" w:eastAsia="zh-CN"/>
            </w:rPr>
            <w:t>复绿</w:t>
          </w:r>
          <w:r>
            <w:tab/>
          </w:r>
          <w:r>
            <w:fldChar w:fldCharType="begin"/>
          </w:r>
          <w:r>
            <w:instrText xml:space="preserve"> PAGEREF _Toc10264 \h </w:instrText>
          </w:r>
          <w:r>
            <w:fldChar w:fldCharType="separate"/>
          </w:r>
          <w:r>
            <w:t>31</w:t>
          </w:r>
          <w:r>
            <w:fldChar w:fldCharType="end"/>
          </w:r>
          <w:r>
            <w:rPr>
              <w:color w:val="auto"/>
            </w:rPr>
            <w:fldChar w:fldCharType="end"/>
          </w:r>
        </w:p>
        <w:p w14:paraId="75D402BE">
          <w:pPr>
            <w:pStyle w:val="30"/>
            <w:tabs>
              <w:tab w:val="right" w:leader="dot" w:pos="8902"/>
            </w:tabs>
          </w:pPr>
          <w:r>
            <w:rPr>
              <w:color w:val="auto"/>
            </w:rPr>
            <w:fldChar w:fldCharType="begin"/>
          </w:r>
          <w:r>
            <w:instrText xml:space="preserve"> HYPERLINK \l _Toc22314 </w:instrText>
          </w:r>
          <w:r>
            <w:fldChar w:fldCharType="separate"/>
          </w:r>
          <w:r>
            <w:rPr>
              <w:rFonts w:hint="eastAsia"/>
            </w:rPr>
            <w:t>2.5.6</w:t>
          </w:r>
          <w:r>
            <w:t>辅助设施</w:t>
          </w:r>
          <w:r>
            <w:tab/>
          </w:r>
          <w:r>
            <w:fldChar w:fldCharType="begin"/>
          </w:r>
          <w:r>
            <w:instrText xml:space="preserve"> PAGEREF _Toc22314 \h </w:instrText>
          </w:r>
          <w:r>
            <w:fldChar w:fldCharType="separate"/>
          </w:r>
          <w:r>
            <w:t>32</w:t>
          </w:r>
          <w:r>
            <w:fldChar w:fldCharType="end"/>
          </w:r>
          <w:r>
            <w:rPr>
              <w:color w:val="auto"/>
            </w:rPr>
            <w:fldChar w:fldCharType="end"/>
          </w:r>
        </w:p>
        <w:p w14:paraId="6B8C8F21">
          <w:pPr>
            <w:pStyle w:val="30"/>
            <w:tabs>
              <w:tab w:val="right" w:leader="dot" w:pos="8902"/>
            </w:tabs>
          </w:pPr>
          <w:r>
            <w:rPr>
              <w:color w:val="auto"/>
            </w:rPr>
            <w:fldChar w:fldCharType="begin"/>
          </w:r>
          <w:r>
            <w:instrText xml:space="preserve"> HYPERLINK \l _Toc24050 </w:instrText>
          </w:r>
          <w:r>
            <w:fldChar w:fldCharType="separate"/>
          </w:r>
          <w:r>
            <w:rPr>
              <w:rFonts w:hint="eastAsia"/>
            </w:rPr>
            <w:t>2.5.7</w:t>
          </w:r>
          <w:r>
            <w:t>个人安全防护</w:t>
          </w:r>
          <w:r>
            <w:tab/>
          </w:r>
          <w:r>
            <w:fldChar w:fldCharType="begin"/>
          </w:r>
          <w:r>
            <w:instrText xml:space="preserve"> PAGEREF _Toc24050 \h </w:instrText>
          </w:r>
          <w:r>
            <w:fldChar w:fldCharType="separate"/>
          </w:r>
          <w:r>
            <w:t>32</w:t>
          </w:r>
          <w:r>
            <w:fldChar w:fldCharType="end"/>
          </w:r>
          <w:r>
            <w:rPr>
              <w:color w:val="auto"/>
            </w:rPr>
            <w:fldChar w:fldCharType="end"/>
          </w:r>
        </w:p>
        <w:p w14:paraId="7BC10CD3">
          <w:pPr>
            <w:pStyle w:val="30"/>
            <w:tabs>
              <w:tab w:val="right" w:leader="dot" w:pos="8902"/>
            </w:tabs>
          </w:pPr>
          <w:r>
            <w:rPr>
              <w:color w:val="auto"/>
            </w:rPr>
            <w:fldChar w:fldCharType="begin"/>
          </w:r>
          <w:r>
            <w:instrText xml:space="preserve"> HYPERLINK \l _Toc11471 </w:instrText>
          </w:r>
          <w:r>
            <w:fldChar w:fldCharType="separate"/>
          </w:r>
          <w:r>
            <w:rPr>
              <w:rFonts w:hint="eastAsia"/>
            </w:rPr>
            <w:t>2.5.8</w:t>
          </w:r>
          <w:r>
            <w:t>安全标志</w:t>
          </w:r>
          <w:r>
            <w:tab/>
          </w:r>
          <w:r>
            <w:fldChar w:fldCharType="begin"/>
          </w:r>
          <w:r>
            <w:instrText xml:space="preserve"> PAGEREF _Toc11471 \h </w:instrText>
          </w:r>
          <w:r>
            <w:fldChar w:fldCharType="separate"/>
          </w:r>
          <w:r>
            <w:t>32</w:t>
          </w:r>
          <w:r>
            <w:fldChar w:fldCharType="end"/>
          </w:r>
          <w:r>
            <w:rPr>
              <w:color w:val="auto"/>
            </w:rPr>
            <w:fldChar w:fldCharType="end"/>
          </w:r>
        </w:p>
        <w:p w14:paraId="1609F92D">
          <w:pPr>
            <w:pStyle w:val="30"/>
            <w:tabs>
              <w:tab w:val="right" w:leader="dot" w:pos="8902"/>
            </w:tabs>
          </w:pPr>
          <w:r>
            <w:rPr>
              <w:color w:val="auto"/>
            </w:rPr>
            <w:fldChar w:fldCharType="begin"/>
          </w:r>
          <w:r>
            <w:instrText xml:space="preserve"> HYPERLINK \l _Toc30982 </w:instrText>
          </w:r>
          <w:r>
            <w:fldChar w:fldCharType="separate"/>
          </w:r>
          <w:r>
            <w:rPr>
              <w:rFonts w:hint="eastAsia"/>
            </w:rPr>
            <w:t>2.5.9</w:t>
          </w:r>
          <w:r>
            <w:t>企业安全管理</w:t>
          </w:r>
          <w:r>
            <w:tab/>
          </w:r>
          <w:r>
            <w:fldChar w:fldCharType="begin"/>
          </w:r>
          <w:r>
            <w:instrText xml:space="preserve"> PAGEREF _Toc30982 \h </w:instrText>
          </w:r>
          <w:r>
            <w:fldChar w:fldCharType="separate"/>
          </w:r>
          <w:r>
            <w:t>32</w:t>
          </w:r>
          <w:r>
            <w:fldChar w:fldCharType="end"/>
          </w:r>
          <w:r>
            <w:rPr>
              <w:color w:val="auto"/>
            </w:rPr>
            <w:fldChar w:fldCharType="end"/>
          </w:r>
        </w:p>
        <w:p w14:paraId="3BDC08EE">
          <w:pPr>
            <w:pStyle w:val="30"/>
            <w:tabs>
              <w:tab w:val="right" w:leader="dot" w:pos="8902"/>
            </w:tabs>
          </w:pPr>
          <w:r>
            <w:rPr>
              <w:color w:val="auto"/>
            </w:rPr>
            <w:fldChar w:fldCharType="begin"/>
          </w:r>
          <w:r>
            <w:instrText xml:space="preserve"> HYPERLINK \l _Toc678 </w:instrText>
          </w:r>
          <w:r>
            <w:fldChar w:fldCharType="separate"/>
          </w:r>
          <w:r>
            <w:rPr>
              <w:rFonts w:hint="eastAsia"/>
              <w:lang w:val="en-US" w:eastAsia="zh-CN"/>
            </w:rPr>
            <w:t>2.5.10安全设施投入情况</w:t>
          </w:r>
          <w:r>
            <w:tab/>
          </w:r>
          <w:r>
            <w:fldChar w:fldCharType="begin"/>
          </w:r>
          <w:r>
            <w:instrText xml:space="preserve"> PAGEREF _Toc678 \h </w:instrText>
          </w:r>
          <w:r>
            <w:fldChar w:fldCharType="separate"/>
          </w:r>
          <w:r>
            <w:t>33</w:t>
          </w:r>
          <w:r>
            <w:fldChar w:fldCharType="end"/>
          </w:r>
          <w:r>
            <w:rPr>
              <w:color w:val="auto"/>
            </w:rPr>
            <w:fldChar w:fldCharType="end"/>
          </w:r>
        </w:p>
        <w:p w14:paraId="57BBFBC4">
          <w:pPr>
            <w:pStyle w:val="48"/>
            <w:tabs>
              <w:tab w:val="right" w:leader="dot" w:pos="8902"/>
            </w:tabs>
          </w:pPr>
          <w:r>
            <w:rPr>
              <w:color w:val="auto"/>
            </w:rPr>
            <w:fldChar w:fldCharType="begin"/>
          </w:r>
          <w:r>
            <w:instrText xml:space="preserve"> HYPERLINK \l _Toc4328 </w:instrText>
          </w:r>
          <w:r>
            <w:fldChar w:fldCharType="separate"/>
          </w:r>
          <w:r>
            <w:rPr>
              <w:rFonts w:hint="eastAsia"/>
            </w:rPr>
            <w:t>2.6</w:t>
          </w:r>
          <w:r>
            <w:rPr>
              <w:rFonts w:hint="eastAsia"/>
              <w:lang w:val="en-US" w:eastAsia="zh-CN"/>
            </w:rPr>
            <w:t>闭库工程施工情况</w:t>
          </w:r>
          <w:r>
            <w:tab/>
          </w:r>
          <w:r>
            <w:fldChar w:fldCharType="begin"/>
          </w:r>
          <w:r>
            <w:instrText xml:space="preserve"> PAGEREF _Toc4328 \h </w:instrText>
          </w:r>
          <w:r>
            <w:fldChar w:fldCharType="separate"/>
          </w:r>
          <w:r>
            <w:t>34</w:t>
          </w:r>
          <w:r>
            <w:fldChar w:fldCharType="end"/>
          </w:r>
          <w:r>
            <w:rPr>
              <w:color w:val="auto"/>
            </w:rPr>
            <w:fldChar w:fldCharType="end"/>
          </w:r>
        </w:p>
        <w:p w14:paraId="29C4E7D5">
          <w:pPr>
            <w:pStyle w:val="30"/>
            <w:tabs>
              <w:tab w:val="right" w:leader="dot" w:pos="8902"/>
            </w:tabs>
          </w:pPr>
          <w:r>
            <w:rPr>
              <w:color w:val="auto"/>
            </w:rPr>
            <w:fldChar w:fldCharType="begin"/>
          </w:r>
          <w:r>
            <w:instrText xml:space="preserve"> HYPERLINK \l _Toc17133 </w:instrText>
          </w:r>
          <w:r>
            <w:fldChar w:fldCharType="separate"/>
          </w:r>
          <w:r>
            <w:rPr>
              <w:rFonts w:hint="eastAsia" w:eastAsiaTheme="minorEastAsia"/>
              <w:szCs w:val="28"/>
              <w:lang w:val="zh-CN"/>
            </w:rPr>
            <w:t>2.6.1</w:t>
          </w:r>
          <w:r>
            <w:rPr>
              <w:rFonts w:hint="eastAsia"/>
              <w:lang w:val="zh-CN" w:eastAsia="zh-CN"/>
            </w:rPr>
            <w:t>工程</w:t>
          </w:r>
          <w:r>
            <w:rPr>
              <w:rFonts w:hint="eastAsia"/>
              <w:lang w:val="zh-CN"/>
            </w:rPr>
            <w:t>具体</w:t>
          </w:r>
          <w:r>
            <w:rPr>
              <w:rFonts w:hint="eastAsia"/>
              <w:lang w:val="zh-CN" w:eastAsia="zh-CN"/>
            </w:rPr>
            <w:t>施工</w:t>
          </w:r>
          <w:r>
            <w:tab/>
          </w:r>
          <w:r>
            <w:fldChar w:fldCharType="begin"/>
          </w:r>
          <w:r>
            <w:instrText xml:space="preserve"> PAGEREF _Toc17133 \h </w:instrText>
          </w:r>
          <w:r>
            <w:fldChar w:fldCharType="separate"/>
          </w:r>
          <w:r>
            <w:t>34</w:t>
          </w:r>
          <w:r>
            <w:fldChar w:fldCharType="end"/>
          </w:r>
          <w:r>
            <w:rPr>
              <w:color w:val="auto"/>
            </w:rPr>
            <w:fldChar w:fldCharType="end"/>
          </w:r>
        </w:p>
        <w:p w14:paraId="172EDA56">
          <w:pPr>
            <w:pStyle w:val="30"/>
            <w:tabs>
              <w:tab w:val="right" w:leader="dot" w:pos="8902"/>
            </w:tabs>
          </w:pPr>
          <w:r>
            <w:rPr>
              <w:color w:val="auto"/>
            </w:rPr>
            <w:fldChar w:fldCharType="begin"/>
          </w:r>
          <w:r>
            <w:instrText xml:space="preserve"> HYPERLINK \l _Toc15344 </w:instrText>
          </w:r>
          <w:r>
            <w:fldChar w:fldCharType="separate"/>
          </w:r>
          <w:r>
            <w:rPr>
              <w:rFonts w:hint="eastAsia"/>
            </w:rPr>
            <w:t>2.6.2</w:t>
          </w:r>
          <w:r>
            <w:rPr>
              <w:rFonts w:hint="eastAsia"/>
              <w:lang w:val="en-US" w:eastAsia="zh-CN"/>
            </w:rPr>
            <w:t>工程施工管理组织、质量控制</w:t>
          </w:r>
          <w:r>
            <w:tab/>
          </w:r>
          <w:r>
            <w:fldChar w:fldCharType="begin"/>
          </w:r>
          <w:r>
            <w:instrText xml:space="preserve"> PAGEREF _Toc15344 \h </w:instrText>
          </w:r>
          <w:r>
            <w:fldChar w:fldCharType="separate"/>
          </w:r>
          <w:r>
            <w:t>34</w:t>
          </w:r>
          <w:r>
            <w:fldChar w:fldCharType="end"/>
          </w:r>
          <w:r>
            <w:rPr>
              <w:color w:val="auto"/>
            </w:rPr>
            <w:fldChar w:fldCharType="end"/>
          </w:r>
        </w:p>
        <w:p w14:paraId="6938B695">
          <w:pPr>
            <w:pStyle w:val="30"/>
            <w:tabs>
              <w:tab w:val="right" w:leader="dot" w:pos="8902"/>
            </w:tabs>
          </w:pPr>
          <w:r>
            <w:rPr>
              <w:color w:val="auto"/>
            </w:rPr>
            <w:fldChar w:fldCharType="begin"/>
          </w:r>
          <w:r>
            <w:instrText xml:space="preserve"> HYPERLINK \l _Toc29542 </w:instrText>
          </w:r>
          <w:r>
            <w:fldChar w:fldCharType="separate"/>
          </w:r>
          <w:r>
            <w:rPr>
              <w:rFonts w:hint="eastAsia" w:eastAsiaTheme="minorEastAsia"/>
              <w:szCs w:val="28"/>
            </w:rPr>
            <w:t>2.6.3</w:t>
          </w:r>
          <w:r>
            <w:rPr>
              <w:rFonts w:hint="eastAsia"/>
            </w:rPr>
            <w:t>安全文明施工</w:t>
          </w:r>
          <w:r>
            <w:tab/>
          </w:r>
          <w:r>
            <w:fldChar w:fldCharType="begin"/>
          </w:r>
          <w:r>
            <w:instrText xml:space="preserve"> PAGEREF _Toc29542 \h </w:instrText>
          </w:r>
          <w:r>
            <w:fldChar w:fldCharType="separate"/>
          </w:r>
          <w:r>
            <w:t>35</w:t>
          </w:r>
          <w:r>
            <w:fldChar w:fldCharType="end"/>
          </w:r>
          <w:r>
            <w:rPr>
              <w:color w:val="auto"/>
            </w:rPr>
            <w:fldChar w:fldCharType="end"/>
          </w:r>
        </w:p>
        <w:p w14:paraId="478C0944">
          <w:pPr>
            <w:pStyle w:val="30"/>
            <w:tabs>
              <w:tab w:val="right" w:leader="dot" w:pos="8902"/>
            </w:tabs>
          </w:pPr>
          <w:r>
            <w:rPr>
              <w:color w:val="auto"/>
            </w:rPr>
            <w:fldChar w:fldCharType="begin"/>
          </w:r>
          <w:r>
            <w:instrText xml:space="preserve"> HYPERLINK \l _Toc13942 </w:instrText>
          </w:r>
          <w:r>
            <w:fldChar w:fldCharType="separate"/>
          </w:r>
          <w:r>
            <w:rPr>
              <w:rFonts w:hint="eastAsia"/>
            </w:rPr>
            <w:t>2.6.4工程检验批、分</w:t>
          </w:r>
          <w:r>
            <w:rPr>
              <w:rFonts w:hint="eastAsia"/>
              <w:lang w:eastAsia="zh-CN"/>
            </w:rPr>
            <w:t>项、</w:t>
          </w:r>
          <w:r>
            <w:rPr>
              <w:rFonts w:hint="eastAsia"/>
            </w:rPr>
            <w:t>分</w:t>
          </w:r>
          <w:r>
            <w:rPr>
              <w:rFonts w:hint="eastAsia"/>
              <w:lang w:eastAsia="zh-CN"/>
            </w:rPr>
            <w:t>部</w:t>
          </w:r>
          <w:r>
            <w:rPr>
              <w:rFonts w:hint="eastAsia"/>
            </w:rPr>
            <w:t>工程、单位工程划分情况</w:t>
          </w:r>
          <w:r>
            <w:tab/>
          </w:r>
          <w:r>
            <w:fldChar w:fldCharType="begin"/>
          </w:r>
          <w:r>
            <w:instrText xml:space="preserve"> PAGEREF _Toc13942 \h </w:instrText>
          </w:r>
          <w:r>
            <w:fldChar w:fldCharType="separate"/>
          </w:r>
          <w:r>
            <w:t>35</w:t>
          </w:r>
          <w:r>
            <w:fldChar w:fldCharType="end"/>
          </w:r>
          <w:r>
            <w:rPr>
              <w:color w:val="auto"/>
            </w:rPr>
            <w:fldChar w:fldCharType="end"/>
          </w:r>
        </w:p>
        <w:p w14:paraId="202A8FE5">
          <w:pPr>
            <w:pStyle w:val="30"/>
            <w:tabs>
              <w:tab w:val="right" w:leader="dot" w:pos="8902"/>
            </w:tabs>
          </w:pPr>
          <w:r>
            <w:rPr>
              <w:color w:val="auto"/>
            </w:rPr>
            <w:fldChar w:fldCharType="begin"/>
          </w:r>
          <w:r>
            <w:instrText xml:space="preserve"> HYPERLINK \l _Toc32288 </w:instrText>
          </w:r>
          <w:r>
            <w:fldChar w:fldCharType="separate"/>
          </w:r>
          <w:r>
            <w:rPr>
              <w:rFonts w:hint="eastAsia" w:eastAsiaTheme="minorEastAsia"/>
              <w:szCs w:val="28"/>
            </w:rPr>
            <w:t>2.6.5</w:t>
          </w:r>
          <w:r>
            <w:rPr>
              <w:rFonts w:hint="eastAsia"/>
            </w:rPr>
            <w:t>原材料控制情况</w:t>
          </w:r>
          <w:r>
            <w:tab/>
          </w:r>
          <w:r>
            <w:fldChar w:fldCharType="begin"/>
          </w:r>
          <w:r>
            <w:instrText xml:space="preserve"> PAGEREF _Toc32288 \h </w:instrText>
          </w:r>
          <w:r>
            <w:fldChar w:fldCharType="separate"/>
          </w:r>
          <w:r>
            <w:t>35</w:t>
          </w:r>
          <w:r>
            <w:fldChar w:fldCharType="end"/>
          </w:r>
          <w:r>
            <w:rPr>
              <w:color w:val="auto"/>
            </w:rPr>
            <w:fldChar w:fldCharType="end"/>
          </w:r>
        </w:p>
        <w:p w14:paraId="20233303">
          <w:pPr>
            <w:pStyle w:val="30"/>
            <w:tabs>
              <w:tab w:val="right" w:leader="dot" w:pos="8902"/>
            </w:tabs>
          </w:pPr>
          <w:r>
            <w:rPr>
              <w:color w:val="auto"/>
            </w:rPr>
            <w:fldChar w:fldCharType="begin"/>
          </w:r>
          <w:r>
            <w:instrText xml:space="preserve"> HYPERLINK \l _Toc19712 </w:instrText>
          </w:r>
          <w:r>
            <w:fldChar w:fldCharType="separate"/>
          </w:r>
          <w:r>
            <w:rPr>
              <w:rFonts w:hint="eastAsia" w:eastAsiaTheme="minorEastAsia"/>
              <w:szCs w:val="28"/>
            </w:rPr>
            <w:t>2.6.6</w:t>
          </w:r>
          <w:r>
            <w:rPr>
              <w:rFonts w:hint="eastAsia"/>
            </w:rPr>
            <w:t>取样</w:t>
          </w:r>
          <w:r>
            <w:tab/>
          </w:r>
          <w:r>
            <w:fldChar w:fldCharType="begin"/>
          </w:r>
          <w:r>
            <w:instrText xml:space="preserve"> PAGEREF _Toc19712 \h </w:instrText>
          </w:r>
          <w:r>
            <w:fldChar w:fldCharType="separate"/>
          </w:r>
          <w:r>
            <w:t>35</w:t>
          </w:r>
          <w:r>
            <w:fldChar w:fldCharType="end"/>
          </w:r>
          <w:r>
            <w:rPr>
              <w:color w:val="auto"/>
            </w:rPr>
            <w:fldChar w:fldCharType="end"/>
          </w:r>
        </w:p>
        <w:p w14:paraId="3EC8A5C3">
          <w:pPr>
            <w:pStyle w:val="30"/>
            <w:tabs>
              <w:tab w:val="right" w:leader="dot" w:pos="8902"/>
            </w:tabs>
          </w:pPr>
          <w:r>
            <w:rPr>
              <w:color w:val="auto"/>
            </w:rPr>
            <w:fldChar w:fldCharType="begin"/>
          </w:r>
          <w:r>
            <w:instrText xml:space="preserve"> HYPERLINK \l _Toc9591 </w:instrText>
          </w:r>
          <w:r>
            <w:fldChar w:fldCharType="separate"/>
          </w:r>
          <w:r>
            <w:rPr>
              <w:rFonts w:hint="eastAsia" w:eastAsiaTheme="minorEastAsia"/>
              <w:szCs w:val="28"/>
              <w:lang w:eastAsia="zh-CN"/>
            </w:rPr>
            <w:t>2.6.7</w:t>
          </w:r>
          <w:r>
            <w:rPr>
              <w:rFonts w:hint="eastAsia"/>
            </w:rPr>
            <w:t>检测</w:t>
          </w:r>
          <w:r>
            <w:rPr>
              <w:rFonts w:hint="eastAsia"/>
              <w:lang w:eastAsia="zh-CN"/>
            </w:rPr>
            <w:t>报告</w:t>
          </w:r>
          <w:r>
            <w:tab/>
          </w:r>
          <w:r>
            <w:fldChar w:fldCharType="begin"/>
          </w:r>
          <w:r>
            <w:instrText xml:space="preserve"> PAGEREF _Toc9591 \h </w:instrText>
          </w:r>
          <w:r>
            <w:fldChar w:fldCharType="separate"/>
          </w:r>
          <w:r>
            <w:t>35</w:t>
          </w:r>
          <w:r>
            <w:fldChar w:fldCharType="end"/>
          </w:r>
          <w:r>
            <w:rPr>
              <w:color w:val="auto"/>
            </w:rPr>
            <w:fldChar w:fldCharType="end"/>
          </w:r>
        </w:p>
        <w:p w14:paraId="67647DC6">
          <w:pPr>
            <w:pStyle w:val="30"/>
            <w:tabs>
              <w:tab w:val="right" w:leader="dot" w:pos="8902"/>
            </w:tabs>
          </w:pPr>
          <w:r>
            <w:rPr>
              <w:color w:val="auto"/>
            </w:rPr>
            <w:fldChar w:fldCharType="begin"/>
          </w:r>
          <w:r>
            <w:instrText xml:space="preserve"> HYPERLINK \l _Toc26813 </w:instrText>
          </w:r>
          <w:r>
            <w:fldChar w:fldCharType="separate"/>
          </w:r>
          <w:r>
            <w:rPr>
              <w:rFonts w:hint="eastAsia" w:eastAsiaTheme="minorEastAsia"/>
              <w:szCs w:val="28"/>
            </w:rPr>
            <w:t>2.6.8</w:t>
          </w:r>
          <w:r>
            <w:rPr>
              <w:rFonts w:hint="eastAsia"/>
            </w:rPr>
            <w:t>结论</w:t>
          </w:r>
          <w:r>
            <w:tab/>
          </w:r>
          <w:r>
            <w:fldChar w:fldCharType="begin"/>
          </w:r>
          <w:r>
            <w:instrText xml:space="preserve"> PAGEREF _Toc26813 \h </w:instrText>
          </w:r>
          <w:r>
            <w:fldChar w:fldCharType="separate"/>
          </w:r>
          <w:r>
            <w:t>36</w:t>
          </w:r>
          <w:r>
            <w:fldChar w:fldCharType="end"/>
          </w:r>
          <w:r>
            <w:rPr>
              <w:color w:val="auto"/>
            </w:rPr>
            <w:fldChar w:fldCharType="end"/>
          </w:r>
        </w:p>
        <w:p w14:paraId="46AAA3B2">
          <w:pPr>
            <w:pStyle w:val="48"/>
            <w:tabs>
              <w:tab w:val="right" w:leader="dot" w:pos="8902"/>
            </w:tabs>
          </w:pPr>
          <w:r>
            <w:rPr>
              <w:color w:val="auto"/>
            </w:rPr>
            <w:fldChar w:fldCharType="begin"/>
          </w:r>
          <w:r>
            <w:instrText xml:space="preserve"> HYPERLINK \l _Toc9492 </w:instrText>
          </w:r>
          <w:r>
            <w:fldChar w:fldCharType="separate"/>
          </w:r>
          <w:r>
            <w:rPr>
              <w:rFonts w:hint="eastAsia"/>
              <w:lang w:val="en-US" w:eastAsia="zh-CN"/>
            </w:rPr>
            <w:t>2.7监理情况</w:t>
          </w:r>
          <w:r>
            <w:tab/>
          </w:r>
          <w:r>
            <w:fldChar w:fldCharType="begin"/>
          </w:r>
          <w:r>
            <w:instrText xml:space="preserve"> PAGEREF _Toc9492 \h </w:instrText>
          </w:r>
          <w:r>
            <w:fldChar w:fldCharType="separate"/>
          </w:r>
          <w:r>
            <w:t>36</w:t>
          </w:r>
          <w:r>
            <w:fldChar w:fldCharType="end"/>
          </w:r>
          <w:r>
            <w:rPr>
              <w:color w:val="auto"/>
            </w:rPr>
            <w:fldChar w:fldCharType="end"/>
          </w:r>
        </w:p>
        <w:p w14:paraId="265F4EBE">
          <w:pPr>
            <w:pStyle w:val="39"/>
            <w:tabs>
              <w:tab w:val="right" w:leader="dot" w:pos="8902"/>
            </w:tabs>
          </w:pPr>
          <w:r>
            <w:rPr>
              <w:color w:val="auto"/>
            </w:rPr>
            <w:fldChar w:fldCharType="begin"/>
          </w:r>
          <w:r>
            <w:instrText xml:space="preserve"> HYPERLINK \l _Toc22792 </w:instrText>
          </w:r>
          <w:r>
            <w:fldChar w:fldCharType="separate"/>
          </w:r>
          <w:r>
            <w:rPr>
              <w:rFonts w:hint="eastAsia"/>
            </w:rPr>
            <w:t>3.评价单元的划分和评价方法的选择</w:t>
          </w:r>
          <w:r>
            <w:tab/>
          </w:r>
          <w:r>
            <w:fldChar w:fldCharType="begin"/>
          </w:r>
          <w:r>
            <w:instrText xml:space="preserve"> PAGEREF _Toc22792 \h </w:instrText>
          </w:r>
          <w:r>
            <w:fldChar w:fldCharType="separate"/>
          </w:r>
          <w:r>
            <w:t>38</w:t>
          </w:r>
          <w:r>
            <w:fldChar w:fldCharType="end"/>
          </w:r>
          <w:r>
            <w:rPr>
              <w:color w:val="auto"/>
            </w:rPr>
            <w:fldChar w:fldCharType="end"/>
          </w:r>
        </w:p>
        <w:p w14:paraId="4F98DDA5">
          <w:pPr>
            <w:pStyle w:val="48"/>
            <w:tabs>
              <w:tab w:val="right" w:leader="dot" w:pos="8902"/>
            </w:tabs>
          </w:pPr>
          <w:r>
            <w:rPr>
              <w:color w:val="auto"/>
            </w:rPr>
            <w:fldChar w:fldCharType="begin"/>
          </w:r>
          <w:r>
            <w:instrText xml:space="preserve"> HYPERLINK \l _Toc20469 </w:instrText>
          </w:r>
          <w:r>
            <w:fldChar w:fldCharType="separate"/>
          </w:r>
          <w:r>
            <w:rPr>
              <w:rFonts w:hint="eastAsia"/>
            </w:rPr>
            <w:t>3.1评价单元划分</w:t>
          </w:r>
          <w:r>
            <w:tab/>
          </w:r>
          <w:r>
            <w:fldChar w:fldCharType="begin"/>
          </w:r>
          <w:r>
            <w:instrText xml:space="preserve"> PAGEREF _Toc20469 \h </w:instrText>
          </w:r>
          <w:r>
            <w:fldChar w:fldCharType="separate"/>
          </w:r>
          <w:r>
            <w:t>38</w:t>
          </w:r>
          <w:r>
            <w:fldChar w:fldCharType="end"/>
          </w:r>
          <w:r>
            <w:rPr>
              <w:color w:val="auto"/>
            </w:rPr>
            <w:fldChar w:fldCharType="end"/>
          </w:r>
        </w:p>
        <w:p w14:paraId="49EC05B1">
          <w:pPr>
            <w:pStyle w:val="30"/>
            <w:tabs>
              <w:tab w:val="right" w:leader="dot" w:pos="8902"/>
            </w:tabs>
          </w:pPr>
          <w:r>
            <w:rPr>
              <w:color w:val="auto"/>
            </w:rPr>
            <w:fldChar w:fldCharType="begin"/>
          </w:r>
          <w:r>
            <w:instrText xml:space="preserve"> HYPERLINK \l _Toc2497 </w:instrText>
          </w:r>
          <w:r>
            <w:fldChar w:fldCharType="separate"/>
          </w:r>
          <w:r>
            <w:rPr>
              <w:rFonts w:hint="eastAsia"/>
            </w:rPr>
            <w:t>3.1.1评价单元划分原则</w:t>
          </w:r>
          <w:r>
            <w:tab/>
          </w:r>
          <w:r>
            <w:fldChar w:fldCharType="begin"/>
          </w:r>
          <w:r>
            <w:instrText xml:space="preserve"> PAGEREF _Toc2497 \h </w:instrText>
          </w:r>
          <w:r>
            <w:fldChar w:fldCharType="separate"/>
          </w:r>
          <w:r>
            <w:t>38</w:t>
          </w:r>
          <w:r>
            <w:fldChar w:fldCharType="end"/>
          </w:r>
          <w:r>
            <w:rPr>
              <w:color w:val="auto"/>
            </w:rPr>
            <w:fldChar w:fldCharType="end"/>
          </w:r>
        </w:p>
        <w:p w14:paraId="07CBB97F">
          <w:pPr>
            <w:pStyle w:val="30"/>
            <w:tabs>
              <w:tab w:val="right" w:leader="dot" w:pos="8902"/>
            </w:tabs>
          </w:pPr>
          <w:r>
            <w:rPr>
              <w:color w:val="auto"/>
            </w:rPr>
            <w:fldChar w:fldCharType="begin"/>
          </w:r>
          <w:r>
            <w:instrText xml:space="preserve"> HYPERLINK \l _Toc15310 </w:instrText>
          </w:r>
          <w:r>
            <w:fldChar w:fldCharType="separate"/>
          </w:r>
          <w:r>
            <w:rPr>
              <w:rFonts w:hint="eastAsia"/>
              <w:lang w:val="en-US" w:eastAsia="zh-CN"/>
            </w:rPr>
            <w:t>3.1.2评价单元划分方法</w:t>
          </w:r>
          <w:r>
            <w:tab/>
          </w:r>
          <w:r>
            <w:fldChar w:fldCharType="begin"/>
          </w:r>
          <w:r>
            <w:instrText xml:space="preserve"> PAGEREF _Toc15310 \h </w:instrText>
          </w:r>
          <w:r>
            <w:fldChar w:fldCharType="separate"/>
          </w:r>
          <w:r>
            <w:t>38</w:t>
          </w:r>
          <w:r>
            <w:fldChar w:fldCharType="end"/>
          </w:r>
          <w:r>
            <w:rPr>
              <w:color w:val="auto"/>
            </w:rPr>
            <w:fldChar w:fldCharType="end"/>
          </w:r>
        </w:p>
        <w:p w14:paraId="2563DDD3">
          <w:pPr>
            <w:pStyle w:val="30"/>
            <w:tabs>
              <w:tab w:val="right" w:leader="dot" w:pos="8902"/>
            </w:tabs>
          </w:pPr>
          <w:r>
            <w:rPr>
              <w:color w:val="auto"/>
            </w:rPr>
            <w:fldChar w:fldCharType="begin"/>
          </w:r>
          <w:r>
            <w:instrText xml:space="preserve"> HYPERLINK \l _Toc5573 </w:instrText>
          </w:r>
          <w:r>
            <w:fldChar w:fldCharType="separate"/>
          </w:r>
          <w:r>
            <w:rPr>
              <w:rFonts w:hint="eastAsia"/>
              <w:lang w:val="en-US" w:eastAsia="zh-CN"/>
            </w:rPr>
            <w:t>3.1.3评价单元的划分</w:t>
          </w:r>
          <w:r>
            <w:tab/>
          </w:r>
          <w:r>
            <w:fldChar w:fldCharType="begin"/>
          </w:r>
          <w:r>
            <w:instrText xml:space="preserve"> PAGEREF _Toc5573 \h </w:instrText>
          </w:r>
          <w:r>
            <w:fldChar w:fldCharType="separate"/>
          </w:r>
          <w:r>
            <w:t>38</w:t>
          </w:r>
          <w:r>
            <w:fldChar w:fldCharType="end"/>
          </w:r>
          <w:r>
            <w:rPr>
              <w:color w:val="auto"/>
            </w:rPr>
            <w:fldChar w:fldCharType="end"/>
          </w:r>
        </w:p>
        <w:p w14:paraId="7B801641">
          <w:pPr>
            <w:pStyle w:val="48"/>
            <w:tabs>
              <w:tab w:val="right" w:leader="dot" w:pos="8902"/>
            </w:tabs>
          </w:pPr>
          <w:r>
            <w:rPr>
              <w:color w:val="auto"/>
            </w:rPr>
            <w:fldChar w:fldCharType="begin"/>
          </w:r>
          <w:r>
            <w:instrText xml:space="preserve"> HYPERLINK \l _Toc19511 </w:instrText>
          </w:r>
          <w:r>
            <w:fldChar w:fldCharType="separate"/>
          </w:r>
          <w:r>
            <w:rPr>
              <w:rFonts w:hint="eastAsia"/>
              <w:lang w:val="en-US" w:eastAsia="zh-CN"/>
            </w:rPr>
            <w:t>3.2评价方法的选择及理由</w:t>
          </w:r>
          <w:r>
            <w:tab/>
          </w:r>
          <w:r>
            <w:fldChar w:fldCharType="begin"/>
          </w:r>
          <w:r>
            <w:instrText xml:space="preserve"> PAGEREF _Toc19511 \h </w:instrText>
          </w:r>
          <w:r>
            <w:fldChar w:fldCharType="separate"/>
          </w:r>
          <w:r>
            <w:t>39</w:t>
          </w:r>
          <w:r>
            <w:fldChar w:fldCharType="end"/>
          </w:r>
          <w:r>
            <w:rPr>
              <w:color w:val="auto"/>
            </w:rPr>
            <w:fldChar w:fldCharType="end"/>
          </w:r>
        </w:p>
        <w:p w14:paraId="58D5B252">
          <w:pPr>
            <w:pStyle w:val="48"/>
            <w:tabs>
              <w:tab w:val="right" w:leader="dot" w:pos="8902"/>
            </w:tabs>
          </w:pPr>
          <w:r>
            <w:rPr>
              <w:color w:val="auto"/>
            </w:rPr>
            <w:fldChar w:fldCharType="begin"/>
          </w:r>
          <w:r>
            <w:instrText xml:space="preserve"> HYPERLINK \l _Toc24011 </w:instrText>
          </w:r>
          <w:r>
            <w:fldChar w:fldCharType="separate"/>
          </w:r>
          <w:r>
            <w:rPr>
              <w:rFonts w:hint="eastAsia"/>
              <w:lang w:val="en-US" w:eastAsia="zh-CN"/>
            </w:rPr>
            <w:t>3.3安全评价方法简介</w:t>
          </w:r>
          <w:r>
            <w:tab/>
          </w:r>
          <w:r>
            <w:fldChar w:fldCharType="begin"/>
          </w:r>
          <w:r>
            <w:instrText xml:space="preserve"> PAGEREF _Toc24011 \h </w:instrText>
          </w:r>
          <w:r>
            <w:fldChar w:fldCharType="separate"/>
          </w:r>
          <w:r>
            <w:t>39</w:t>
          </w:r>
          <w:r>
            <w:fldChar w:fldCharType="end"/>
          </w:r>
          <w:r>
            <w:rPr>
              <w:color w:val="auto"/>
            </w:rPr>
            <w:fldChar w:fldCharType="end"/>
          </w:r>
        </w:p>
        <w:p w14:paraId="11D36F84">
          <w:pPr>
            <w:pStyle w:val="30"/>
            <w:tabs>
              <w:tab w:val="right" w:leader="dot" w:pos="8902"/>
            </w:tabs>
          </w:pPr>
          <w:r>
            <w:rPr>
              <w:color w:val="auto"/>
            </w:rPr>
            <w:fldChar w:fldCharType="begin"/>
          </w:r>
          <w:r>
            <w:instrText xml:space="preserve"> HYPERLINK \l _Toc17541 </w:instrText>
          </w:r>
          <w:r>
            <w:fldChar w:fldCharType="separate"/>
          </w:r>
          <w:r>
            <w:rPr>
              <w:rFonts w:hint="eastAsia"/>
              <w:lang w:val="en-US" w:eastAsia="zh-CN"/>
            </w:rPr>
            <w:t>3.3.1安全检查表分析法</w:t>
          </w:r>
          <w:r>
            <w:tab/>
          </w:r>
          <w:r>
            <w:fldChar w:fldCharType="begin"/>
          </w:r>
          <w:r>
            <w:instrText xml:space="preserve"> PAGEREF _Toc17541 \h </w:instrText>
          </w:r>
          <w:r>
            <w:fldChar w:fldCharType="separate"/>
          </w:r>
          <w:r>
            <w:t>39</w:t>
          </w:r>
          <w:r>
            <w:fldChar w:fldCharType="end"/>
          </w:r>
          <w:r>
            <w:rPr>
              <w:color w:val="auto"/>
            </w:rPr>
            <w:fldChar w:fldCharType="end"/>
          </w:r>
        </w:p>
        <w:p w14:paraId="67F86623">
          <w:pPr>
            <w:pStyle w:val="30"/>
            <w:tabs>
              <w:tab w:val="right" w:leader="dot" w:pos="8902"/>
            </w:tabs>
          </w:pPr>
          <w:r>
            <w:rPr>
              <w:color w:val="auto"/>
            </w:rPr>
            <w:fldChar w:fldCharType="begin"/>
          </w:r>
          <w:r>
            <w:instrText xml:space="preserve"> HYPERLINK \l _Toc20326 </w:instrText>
          </w:r>
          <w:r>
            <w:fldChar w:fldCharType="separate"/>
          </w:r>
          <w:r>
            <w:rPr>
              <w:rFonts w:hint="eastAsia"/>
              <w:lang w:val="en-US" w:eastAsia="zh-CN"/>
            </w:rPr>
            <w:t>3.3.2坝体稳定性分析</w:t>
          </w:r>
          <w:r>
            <w:tab/>
          </w:r>
          <w:r>
            <w:fldChar w:fldCharType="begin"/>
          </w:r>
          <w:r>
            <w:instrText xml:space="preserve"> PAGEREF _Toc20326 \h </w:instrText>
          </w:r>
          <w:r>
            <w:fldChar w:fldCharType="separate"/>
          </w:r>
          <w:r>
            <w:t>40</w:t>
          </w:r>
          <w:r>
            <w:fldChar w:fldCharType="end"/>
          </w:r>
          <w:r>
            <w:rPr>
              <w:color w:val="auto"/>
            </w:rPr>
            <w:fldChar w:fldCharType="end"/>
          </w:r>
        </w:p>
        <w:p w14:paraId="287DF31D">
          <w:pPr>
            <w:pStyle w:val="30"/>
            <w:tabs>
              <w:tab w:val="right" w:leader="dot" w:pos="8902"/>
            </w:tabs>
          </w:pPr>
          <w:r>
            <w:rPr>
              <w:color w:val="auto"/>
            </w:rPr>
            <w:fldChar w:fldCharType="begin"/>
          </w:r>
          <w:r>
            <w:instrText xml:space="preserve"> HYPERLINK \l _Toc32071 </w:instrText>
          </w:r>
          <w:r>
            <w:fldChar w:fldCharType="separate"/>
          </w:r>
          <w:r>
            <w:rPr>
              <w:rFonts w:hint="eastAsia"/>
              <w:lang w:val="en-US" w:eastAsia="zh-CN"/>
            </w:rPr>
            <w:t>3.3.3作业条件危险性评价法</w:t>
          </w:r>
          <w:r>
            <w:tab/>
          </w:r>
          <w:r>
            <w:fldChar w:fldCharType="begin"/>
          </w:r>
          <w:r>
            <w:instrText xml:space="preserve"> PAGEREF _Toc32071 \h </w:instrText>
          </w:r>
          <w:r>
            <w:fldChar w:fldCharType="separate"/>
          </w:r>
          <w:r>
            <w:t>41</w:t>
          </w:r>
          <w:r>
            <w:fldChar w:fldCharType="end"/>
          </w:r>
          <w:r>
            <w:rPr>
              <w:color w:val="auto"/>
            </w:rPr>
            <w:fldChar w:fldCharType="end"/>
          </w:r>
        </w:p>
        <w:p w14:paraId="3552C50E">
          <w:pPr>
            <w:pStyle w:val="48"/>
            <w:tabs>
              <w:tab w:val="right" w:leader="dot" w:pos="8902"/>
            </w:tabs>
          </w:pPr>
          <w:r>
            <w:rPr>
              <w:color w:val="auto"/>
            </w:rPr>
            <w:fldChar w:fldCharType="begin"/>
          </w:r>
          <w:r>
            <w:instrText xml:space="preserve"> HYPERLINK \l _Toc9484 </w:instrText>
          </w:r>
          <w:r>
            <w:fldChar w:fldCharType="separate"/>
          </w:r>
          <w:r>
            <w:rPr>
              <w:rFonts w:hint="eastAsia"/>
              <w:lang w:val="en-US" w:eastAsia="zh-CN"/>
            </w:rPr>
            <w:t>3.4各评价单元采用的评价方法</w:t>
          </w:r>
          <w:r>
            <w:tab/>
          </w:r>
          <w:r>
            <w:fldChar w:fldCharType="begin"/>
          </w:r>
          <w:r>
            <w:instrText xml:space="preserve"> PAGEREF _Toc9484 \h </w:instrText>
          </w:r>
          <w:r>
            <w:fldChar w:fldCharType="separate"/>
          </w:r>
          <w:r>
            <w:t>42</w:t>
          </w:r>
          <w:r>
            <w:fldChar w:fldCharType="end"/>
          </w:r>
          <w:r>
            <w:rPr>
              <w:color w:val="auto"/>
            </w:rPr>
            <w:fldChar w:fldCharType="end"/>
          </w:r>
        </w:p>
        <w:p w14:paraId="14F46954">
          <w:pPr>
            <w:pStyle w:val="39"/>
            <w:tabs>
              <w:tab w:val="right" w:leader="dot" w:pos="8902"/>
            </w:tabs>
          </w:pPr>
          <w:r>
            <w:rPr>
              <w:color w:val="auto"/>
            </w:rPr>
            <w:fldChar w:fldCharType="begin"/>
          </w:r>
          <w:r>
            <w:instrText xml:space="preserve"> HYPERLINK \l _Toc692 </w:instrText>
          </w:r>
          <w:r>
            <w:fldChar w:fldCharType="separate"/>
          </w:r>
          <w:r>
            <w:rPr>
              <w:rFonts w:hint="eastAsia"/>
            </w:rPr>
            <w:t>4.</w:t>
          </w:r>
          <w:r>
            <w:t>安全设施符合性评价</w:t>
          </w:r>
          <w:r>
            <w:tab/>
          </w:r>
          <w:r>
            <w:fldChar w:fldCharType="begin"/>
          </w:r>
          <w:r>
            <w:instrText xml:space="preserve"> PAGEREF _Toc692 \h </w:instrText>
          </w:r>
          <w:r>
            <w:fldChar w:fldCharType="separate"/>
          </w:r>
          <w:r>
            <w:t>43</w:t>
          </w:r>
          <w:r>
            <w:fldChar w:fldCharType="end"/>
          </w:r>
          <w:r>
            <w:rPr>
              <w:color w:val="auto"/>
            </w:rPr>
            <w:fldChar w:fldCharType="end"/>
          </w:r>
        </w:p>
        <w:p w14:paraId="19842C10">
          <w:pPr>
            <w:pStyle w:val="48"/>
            <w:tabs>
              <w:tab w:val="right" w:leader="dot" w:pos="8902"/>
            </w:tabs>
          </w:pPr>
          <w:r>
            <w:rPr>
              <w:color w:val="auto"/>
            </w:rPr>
            <w:fldChar w:fldCharType="begin"/>
          </w:r>
          <w:r>
            <w:instrText xml:space="preserve"> HYPERLINK \l _Toc28488 </w:instrText>
          </w:r>
          <w:r>
            <w:fldChar w:fldCharType="separate"/>
          </w:r>
          <w:r>
            <w:rPr>
              <w:rFonts w:hint="eastAsia"/>
            </w:rPr>
            <w:t>4.1</w:t>
          </w:r>
          <w:r>
            <w:t>安全设施</w:t>
          </w:r>
          <w:r>
            <w:rPr>
              <w:rFonts w:hint="eastAsia"/>
            </w:rPr>
            <w:t>“</w:t>
          </w:r>
          <w:r>
            <w:t>三同时</w:t>
          </w:r>
          <w:r>
            <w:rPr>
              <w:rFonts w:hint="eastAsia"/>
            </w:rPr>
            <w:t>”</w:t>
          </w:r>
          <w:r>
            <w:t>程序评价单元</w:t>
          </w:r>
          <w:r>
            <w:tab/>
          </w:r>
          <w:r>
            <w:fldChar w:fldCharType="begin"/>
          </w:r>
          <w:r>
            <w:instrText xml:space="preserve"> PAGEREF _Toc28488 \h </w:instrText>
          </w:r>
          <w:r>
            <w:fldChar w:fldCharType="separate"/>
          </w:r>
          <w:r>
            <w:t>43</w:t>
          </w:r>
          <w:r>
            <w:fldChar w:fldCharType="end"/>
          </w:r>
          <w:r>
            <w:rPr>
              <w:color w:val="auto"/>
            </w:rPr>
            <w:fldChar w:fldCharType="end"/>
          </w:r>
        </w:p>
        <w:p w14:paraId="63ED5B2F">
          <w:pPr>
            <w:pStyle w:val="30"/>
            <w:tabs>
              <w:tab w:val="right" w:leader="dot" w:pos="8902"/>
            </w:tabs>
          </w:pPr>
          <w:r>
            <w:rPr>
              <w:color w:val="auto"/>
            </w:rPr>
            <w:fldChar w:fldCharType="begin"/>
          </w:r>
          <w:r>
            <w:instrText xml:space="preserve"> HYPERLINK \l _Toc19349 </w:instrText>
          </w:r>
          <w:r>
            <w:fldChar w:fldCharType="separate"/>
          </w:r>
          <w:r>
            <w:rPr>
              <w:rFonts w:hint="eastAsia"/>
            </w:rPr>
            <w:t>4.1.1</w:t>
          </w:r>
          <w:r>
            <w:t>安全设施</w:t>
          </w:r>
          <w:r>
            <w:rPr>
              <w:rFonts w:hint="eastAsia"/>
            </w:rPr>
            <w:t>“</w:t>
          </w:r>
          <w:r>
            <w:t>三同时</w:t>
          </w:r>
          <w:r>
            <w:rPr>
              <w:rFonts w:hint="eastAsia"/>
            </w:rPr>
            <w:t>”</w:t>
          </w:r>
          <w:r>
            <w:t>程序符合性评价</w:t>
          </w:r>
          <w:r>
            <w:tab/>
          </w:r>
          <w:r>
            <w:fldChar w:fldCharType="begin"/>
          </w:r>
          <w:r>
            <w:instrText xml:space="preserve"> PAGEREF _Toc19349 \h </w:instrText>
          </w:r>
          <w:r>
            <w:fldChar w:fldCharType="separate"/>
          </w:r>
          <w:r>
            <w:t>43</w:t>
          </w:r>
          <w:r>
            <w:fldChar w:fldCharType="end"/>
          </w:r>
          <w:r>
            <w:rPr>
              <w:color w:val="auto"/>
            </w:rPr>
            <w:fldChar w:fldCharType="end"/>
          </w:r>
        </w:p>
        <w:p w14:paraId="140B8B65">
          <w:pPr>
            <w:pStyle w:val="30"/>
            <w:tabs>
              <w:tab w:val="right" w:leader="dot" w:pos="8902"/>
            </w:tabs>
          </w:pPr>
          <w:r>
            <w:rPr>
              <w:color w:val="auto"/>
            </w:rPr>
            <w:fldChar w:fldCharType="begin"/>
          </w:r>
          <w:r>
            <w:instrText xml:space="preserve"> HYPERLINK \l _Toc30850 </w:instrText>
          </w:r>
          <w:r>
            <w:fldChar w:fldCharType="separate"/>
          </w:r>
          <w:r>
            <w:rPr>
              <w:rFonts w:hint="eastAsia"/>
            </w:rPr>
            <w:t>4.1.2</w:t>
          </w:r>
          <w:r>
            <w:t>单元小结</w:t>
          </w:r>
          <w:r>
            <w:tab/>
          </w:r>
          <w:r>
            <w:fldChar w:fldCharType="begin"/>
          </w:r>
          <w:r>
            <w:instrText xml:space="preserve"> PAGEREF _Toc30850 \h </w:instrText>
          </w:r>
          <w:r>
            <w:fldChar w:fldCharType="separate"/>
          </w:r>
          <w:r>
            <w:t>44</w:t>
          </w:r>
          <w:r>
            <w:fldChar w:fldCharType="end"/>
          </w:r>
          <w:r>
            <w:rPr>
              <w:color w:val="auto"/>
            </w:rPr>
            <w:fldChar w:fldCharType="end"/>
          </w:r>
        </w:p>
        <w:p w14:paraId="52A861B5">
          <w:pPr>
            <w:pStyle w:val="48"/>
            <w:tabs>
              <w:tab w:val="right" w:leader="dot" w:pos="8902"/>
            </w:tabs>
          </w:pPr>
          <w:r>
            <w:rPr>
              <w:color w:val="auto"/>
            </w:rPr>
            <w:fldChar w:fldCharType="begin"/>
          </w:r>
          <w:r>
            <w:instrText xml:space="preserve"> HYPERLINK \l _Toc29805 </w:instrText>
          </w:r>
          <w:r>
            <w:fldChar w:fldCharType="separate"/>
          </w:r>
          <w:r>
            <w:rPr>
              <w:rFonts w:hint="eastAsia" w:cs="Times New Roman"/>
            </w:rPr>
            <w:t>4.2</w:t>
          </w:r>
          <w:r>
            <w:rPr>
              <w:rFonts w:cs="Times New Roman"/>
            </w:rPr>
            <w:t>尾矿</w:t>
          </w:r>
          <w:r>
            <w:rPr>
              <w:rFonts w:hint="eastAsia" w:cs="Times New Roman"/>
              <w:lang w:val="en-US" w:eastAsia="zh-CN"/>
            </w:rPr>
            <w:t>坝</w:t>
          </w:r>
          <w:r>
            <w:rPr>
              <w:rFonts w:cs="Times New Roman"/>
            </w:rPr>
            <w:t>单元</w:t>
          </w:r>
          <w:r>
            <w:tab/>
          </w:r>
          <w:r>
            <w:fldChar w:fldCharType="begin"/>
          </w:r>
          <w:r>
            <w:instrText xml:space="preserve"> PAGEREF _Toc29805 \h </w:instrText>
          </w:r>
          <w:r>
            <w:fldChar w:fldCharType="separate"/>
          </w:r>
          <w:r>
            <w:t>44</w:t>
          </w:r>
          <w:r>
            <w:fldChar w:fldCharType="end"/>
          </w:r>
          <w:r>
            <w:rPr>
              <w:color w:val="auto"/>
            </w:rPr>
            <w:fldChar w:fldCharType="end"/>
          </w:r>
        </w:p>
        <w:p w14:paraId="136BD89E">
          <w:pPr>
            <w:pStyle w:val="30"/>
            <w:tabs>
              <w:tab w:val="right" w:leader="dot" w:pos="8902"/>
            </w:tabs>
          </w:pPr>
          <w:r>
            <w:rPr>
              <w:color w:val="auto"/>
            </w:rPr>
            <w:fldChar w:fldCharType="begin"/>
          </w:r>
          <w:r>
            <w:instrText xml:space="preserve"> HYPERLINK \l _Toc24580 </w:instrText>
          </w:r>
          <w:r>
            <w:fldChar w:fldCharType="separate"/>
          </w:r>
          <w:r>
            <w:rPr>
              <w:rFonts w:hint="eastAsia"/>
              <w:lang w:val="en-US" w:eastAsia="zh-CN"/>
            </w:rPr>
            <w:t>4.2.1危险有害因素辨识与分析</w:t>
          </w:r>
          <w:r>
            <w:tab/>
          </w:r>
          <w:r>
            <w:fldChar w:fldCharType="begin"/>
          </w:r>
          <w:r>
            <w:instrText xml:space="preserve"> PAGEREF _Toc24580 \h </w:instrText>
          </w:r>
          <w:r>
            <w:fldChar w:fldCharType="separate"/>
          </w:r>
          <w:r>
            <w:t>44</w:t>
          </w:r>
          <w:r>
            <w:fldChar w:fldCharType="end"/>
          </w:r>
          <w:r>
            <w:rPr>
              <w:color w:val="auto"/>
            </w:rPr>
            <w:fldChar w:fldCharType="end"/>
          </w:r>
        </w:p>
        <w:p w14:paraId="5C43B767">
          <w:pPr>
            <w:pStyle w:val="30"/>
            <w:tabs>
              <w:tab w:val="right" w:leader="dot" w:pos="8902"/>
            </w:tabs>
          </w:pPr>
          <w:r>
            <w:rPr>
              <w:color w:val="auto"/>
            </w:rPr>
            <w:fldChar w:fldCharType="begin"/>
          </w:r>
          <w:r>
            <w:instrText xml:space="preserve"> HYPERLINK \l _Toc2284 </w:instrText>
          </w:r>
          <w:r>
            <w:fldChar w:fldCharType="separate"/>
          </w:r>
          <w:r>
            <w:rPr>
              <w:rFonts w:hint="eastAsia"/>
            </w:rPr>
            <w:t>4.2.2</w:t>
          </w:r>
          <w:r>
            <w:t>尾矿</w:t>
          </w:r>
          <w:r>
            <w:rPr>
              <w:rFonts w:hint="eastAsia"/>
              <w:lang w:val="en-US" w:eastAsia="zh-CN"/>
            </w:rPr>
            <w:t>坝</w:t>
          </w:r>
          <w:r>
            <w:t>符合性评价</w:t>
          </w:r>
          <w:r>
            <w:tab/>
          </w:r>
          <w:r>
            <w:fldChar w:fldCharType="begin"/>
          </w:r>
          <w:r>
            <w:instrText xml:space="preserve"> PAGEREF _Toc2284 \h </w:instrText>
          </w:r>
          <w:r>
            <w:fldChar w:fldCharType="separate"/>
          </w:r>
          <w:r>
            <w:t>45</w:t>
          </w:r>
          <w:r>
            <w:fldChar w:fldCharType="end"/>
          </w:r>
          <w:r>
            <w:rPr>
              <w:color w:val="auto"/>
            </w:rPr>
            <w:fldChar w:fldCharType="end"/>
          </w:r>
        </w:p>
        <w:p w14:paraId="3C775B57">
          <w:pPr>
            <w:pStyle w:val="30"/>
            <w:tabs>
              <w:tab w:val="right" w:leader="dot" w:pos="8902"/>
            </w:tabs>
          </w:pPr>
          <w:r>
            <w:rPr>
              <w:color w:val="auto"/>
            </w:rPr>
            <w:fldChar w:fldCharType="begin"/>
          </w:r>
          <w:r>
            <w:instrText xml:space="preserve"> HYPERLINK \l _Toc28192 </w:instrText>
          </w:r>
          <w:r>
            <w:fldChar w:fldCharType="separate"/>
          </w:r>
          <w:r>
            <w:rPr>
              <w:rFonts w:hint="eastAsia"/>
              <w:lang w:eastAsia="zh-CN"/>
            </w:rPr>
            <w:t>4.2.3尾矿坝安全稳定性计算</w:t>
          </w:r>
          <w:r>
            <w:tab/>
          </w:r>
          <w:r>
            <w:fldChar w:fldCharType="begin"/>
          </w:r>
          <w:r>
            <w:instrText xml:space="preserve"> PAGEREF _Toc28192 \h </w:instrText>
          </w:r>
          <w:r>
            <w:fldChar w:fldCharType="separate"/>
          </w:r>
          <w:r>
            <w:t>46</w:t>
          </w:r>
          <w:r>
            <w:fldChar w:fldCharType="end"/>
          </w:r>
          <w:r>
            <w:rPr>
              <w:color w:val="auto"/>
            </w:rPr>
            <w:fldChar w:fldCharType="end"/>
          </w:r>
        </w:p>
        <w:p w14:paraId="789A6E5C">
          <w:pPr>
            <w:pStyle w:val="30"/>
            <w:tabs>
              <w:tab w:val="right" w:leader="dot" w:pos="8902"/>
            </w:tabs>
          </w:pPr>
          <w:r>
            <w:rPr>
              <w:color w:val="auto"/>
            </w:rPr>
            <w:fldChar w:fldCharType="begin"/>
          </w:r>
          <w:r>
            <w:instrText xml:space="preserve"> HYPERLINK \l _Toc30192 </w:instrText>
          </w:r>
          <w:r>
            <w:fldChar w:fldCharType="separate"/>
          </w:r>
          <w:r>
            <w:rPr>
              <w:rFonts w:hint="eastAsia"/>
            </w:rPr>
            <w:t>4.2.4</w:t>
          </w:r>
          <w:r>
            <w:t>单元小结</w:t>
          </w:r>
          <w:r>
            <w:tab/>
          </w:r>
          <w:r>
            <w:fldChar w:fldCharType="begin"/>
          </w:r>
          <w:r>
            <w:instrText xml:space="preserve"> PAGEREF _Toc30192 \h </w:instrText>
          </w:r>
          <w:r>
            <w:fldChar w:fldCharType="separate"/>
          </w:r>
          <w:r>
            <w:t>49</w:t>
          </w:r>
          <w:r>
            <w:fldChar w:fldCharType="end"/>
          </w:r>
          <w:r>
            <w:rPr>
              <w:color w:val="auto"/>
            </w:rPr>
            <w:fldChar w:fldCharType="end"/>
          </w:r>
        </w:p>
        <w:p w14:paraId="0B7B2416">
          <w:pPr>
            <w:pStyle w:val="48"/>
            <w:tabs>
              <w:tab w:val="right" w:leader="dot" w:pos="8902"/>
            </w:tabs>
          </w:pPr>
          <w:r>
            <w:rPr>
              <w:color w:val="auto"/>
            </w:rPr>
            <w:fldChar w:fldCharType="begin"/>
          </w:r>
          <w:r>
            <w:instrText xml:space="preserve"> HYPERLINK \l _Toc29355 </w:instrText>
          </w:r>
          <w:r>
            <w:fldChar w:fldCharType="separate"/>
          </w:r>
          <w:r>
            <w:rPr>
              <w:rFonts w:hint="eastAsia" w:cs="Times New Roman"/>
            </w:rPr>
            <w:t>4.3</w:t>
          </w:r>
          <w:r>
            <w:t>防排洪系统单元</w:t>
          </w:r>
          <w:r>
            <w:tab/>
          </w:r>
          <w:r>
            <w:fldChar w:fldCharType="begin"/>
          </w:r>
          <w:r>
            <w:instrText xml:space="preserve"> PAGEREF _Toc29355 \h </w:instrText>
          </w:r>
          <w:r>
            <w:fldChar w:fldCharType="separate"/>
          </w:r>
          <w:r>
            <w:t>49</w:t>
          </w:r>
          <w:r>
            <w:fldChar w:fldCharType="end"/>
          </w:r>
          <w:r>
            <w:rPr>
              <w:color w:val="auto"/>
            </w:rPr>
            <w:fldChar w:fldCharType="end"/>
          </w:r>
        </w:p>
        <w:p w14:paraId="38EBF927">
          <w:pPr>
            <w:pStyle w:val="30"/>
            <w:tabs>
              <w:tab w:val="right" w:leader="dot" w:pos="8902"/>
            </w:tabs>
          </w:pPr>
          <w:r>
            <w:rPr>
              <w:color w:val="auto"/>
            </w:rPr>
            <w:fldChar w:fldCharType="begin"/>
          </w:r>
          <w:r>
            <w:instrText xml:space="preserve"> HYPERLINK \l _Toc20644 </w:instrText>
          </w:r>
          <w:r>
            <w:fldChar w:fldCharType="separate"/>
          </w:r>
          <w:r>
            <w:rPr>
              <w:rFonts w:hint="eastAsia"/>
              <w:lang w:val="en-US" w:eastAsia="zh-CN"/>
            </w:rPr>
            <w:t>4.3.1危险有害因素辨识与分析</w:t>
          </w:r>
          <w:r>
            <w:tab/>
          </w:r>
          <w:r>
            <w:fldChar w:fldCharType="begin"/>
          </w:r>
          <w:r>
            <w:instrText xml:space="preserve"> PAGEREF _Toc20644 \h </w:instrText>
          </w:r>
          <w:r>
            <w:fldChar w:fldCharType="separate"/>
          </w:r>
          <w:r>
            <w:t>49</w:t>
          </w:r>
          <w:r>
            <w:fldChar w:fldCharType="end"/>
          </w:r>
          <w:r>
            <w:rPr>
              <w:color w:val="auto"/>
            </w:rPr>
            <w:fldChar w:fldCharType="end"/>
          </w:r>
        </w:p>
        <w:p w14:paraId="037F5C03">
          <w:pPr>
            <w:pStyle w:val="30"/>
            <w:tabs>
              <w:tab w:val="right" w:leader="dot" w:pos="8902"/>
            </w:tabs>
          </w:pPr>
          <w:r>
            <w:rPr>
              <w:color w:val="auto"/>
            </w:rPr>
            <w:fldChar w:fldCharType="begin"/>
          </w:r>
          <w:r>
            <w:instrText xml:space="preserve"> HYPERLINK \l _Toc18473 </w:instrText>
          </w:r>
          <w:r>
            <w:fldChar w:fldCharType="separate"/>
          </w:r>
          <w:r>
            <w:rPr>
              <w:rFonts w:hint="eastAsia"/>
            </w:rPr>
            <w:t>4.3.2</w:t>
          </w:r>
          <w:r>
            <w:t>防排洪系统符合性检查</w:t>
          </w:r>
          <w:r>
            <w:tab/>
          </w:r>
          <w:r>
            <w:fldChar w:fldCharType="begin"/>
          </w:r>
          <w:r>
            <w:instrText xml:space="preserve"> PAGEREF _Toc18473 \h </w:instrText>
          </w:r>
          <w:r>
            <w:fldChar w:fldCharType="separate"/>
          </w:r>
          <w:r>
            <w:t>50</w:t>
          </w:r>
          <w:r>
            <w:fldChar w:fldCharType="end"/>
          </w:r>
          <w:r>
            <w:rPr>
              <w:color w:val="auto"/>
            </w:rPr>
            <w:fldChar w:fldCharType="end"/>
          </w:r>
        </w:p>
        <w:p w14:paraId="0C629979">
          <w:pPr>
            <w:pStyle w:val="30"/>
            <w:tabs>
              <w:tab w:val="right" w:leader="dot" w:pos="8902"/>
            </w:tabs>
          </w:pPr>
          <w:r>
            <w:rPr>
              <w:color w:val="auto"/>
            </w:rPr>
            <w:fldChar w:fldCharType="begin"/>
          </w:r>
          <w:r>
            <w:instrText xml:space="preserve"> HYPERLINK \l _Toc17276 </w:instrText>
          </w:r>
          <w:r>
            <w:fldChar w:fldCharType="separate"/>
          </w:r>
          <w:r>
            <w:rPr>
              <w:rFonts w:hint="eastAsia"/>
            </w:rPr>
            <w:t>4.3.3</w:t>
          </w:r>
          <w:r>
            <w:rPr>
              <w:rFonts w:hint="eastAsia"/>
              <w:lang w:eastAsia="zh-CN"/>
            </w:rPr>
            <w:t>防洪演算</w:t>
          </w:r>
          <w:r>
            <w:tab/>
          </w:r>
          <w:r>
            <w:fldChar w:fldCharType="begin"/>
          </w:r>
          <w:r>
            <w:instrText xml:space="preserve"> PAGEREF _Toc17276 \h </w:instrText>
          </w:r>
          <w:r>
            <w:fldChar w:fldCharType="separate"/>
          </w:r>
          <w:r>
            <w:t>51</w:t>
          </w:r>
          <w:r>
            <w:fldChar w:fldCharType="end"/>
          </w:r>
          <w:r>
            <w:rPr>
              <w:color w:val="auto"/>
            </w:rPr>
            <w:fldChar w:fldCharType="end"/>
          </w:r>
        </w:p>
        <w:p w14:paraId="56AF4181">
          <w:pPr>
            <w:pStyle w:val="30"/>
            <w:tabs>
              <w:tab w:val="right" w:leader="dot" w:pos="8902"/>
            </w:tabs>
          </w:pPr>
          <w:r>
            <w:rPr>
              <w:color w:val="auto"/>
            </w:rPr>
            <w:fldChar w:fldCharType="begin"/>
          </w:r>
          <w:r>
            <w:instrText xml:space="preserve"> HYPERLINK \l _Toc10576 </w:instrText>
          </w:r>
          <w:r>
            <w:fldChar w:fldCharType="separate"/>
          </w:r>
          <w:r>
            <w:rPr>
              <w:rFonts w:hint="eastAsia"/>
            </w:rPr>
            <w:t>4.3.4</w:t>
          </w:r>
          <w:r>
            <w:t>单元小结</w:t>
          </w:r>
          <w:r>
            <w:tab/>
          </w:r>
          <w:r>
            <w:fldChar w:fldCharType="begin"/>
          </w:r>
          <w:r>
            <w:instrText xml:space="preserve"> PAGEREF _Toc10576 \h </w:instrText>
          </w:r>
          <w:r>
            <w:fldChar w:fldCharType="separate"/>
          </w:r>
          <w:r>
            <w:t>55</w:t>
          </w:r>
          <w:r>
            <w:fldChar w:fldCharType="end"/>
          </w:r>
          <w:r>
            <w:rPr>
              <w:color w:val="auto"/>
            </w:rPr>
            <w:fldChar w:fldCharType="end"/>
          </w:r>
        </w:p>
        <w:p w14:paraId="1E05E8A4">
          <w:pPr>
            <w:pStyle w:val="48"/>
            <w:tabs>
              <w:tab w:val="right" w:leader="dot" w:pos="8902"/>
            </w:tabs>
          </w:pPr>
          <w:r>
            <w:rPr>
              <w:color w:val="auto"/>
            </w:rPr>
            <w:fldChar w:fldCharType="begin"/>
          </w:r>
          <w:r>
            <w:instrText xml:space="preserve"> HYPERLINK \l _Toc14362 </w:instrText>
          </w:r>
          <w:r>
            <w:fldChar w:fldCharType="separate"/>
          </w:r>
          <w:r>
            <w:rPr>
              <w:rFonts w:hint="eastAsia"/>
              <w:lang w:val="en-US" w:eastAsia="zh-CN"/>
            </w:rPr>
            <w:t>4.4地质灾害防护设施单元</w:t>
          </w:r>
          <w:r>
            <w:tab/>
          </w:r>
          <w:r>
            <w:fldChar w:fldCharType="begin"/>
          </w:r>
          <w:r>
            <w:instrText xml:space="preserve"> PAGEREF _Toc14362 \h </w:instrText>
          </w:r>
          <w:r>
            <w:fldChar w:fldCharType="separate"/>
          </w:r>
          <w:r>
            <w:t>56</w:t>
          </w:r>
          <w:r>
            <w:fldChar w:fldCharType="end"/>
          </w:r>
          <w:r>
            <w:rPr>
              <w:color w:val="auto"/>
            </w:rPr>
            <w:fldChar w:fldCharType="end"/>
          </w:r>
        </w:p>
        <w:p w14:paraId="6443D289">
          <w:pPr>
            <w:pStyle w:val="30"/>
            <w:tabs>
              <w:tab w:val="right" w:leader="dot" w:pos="8902"/>
            </w:tabs>
          </w:pPr>
          <w:r>
            <w:rPr>
              <w:color w:val="auto"/>
            </w:rPr>
            <w:fldChar w:fldCharType="begin"/>
          </w:r>
          <w:r>
            <w:instrText xml:space="preserve"> HYPERLINK \l _Toc13277 </w:instrText>
          </w:r>
          <w:r>
            <w:fldChar w:fldCharType="separate"/>
          </w:r>
          <w:r>
            <w:rPr>
              <w:rFonts w:hint="eastAsia"/>
              <w:lang w:val="en-US" w:eastAsia="zh-CN"/>
            </w:rPr>
            <w:t>4.4.1库区工程地质条件评价</w:t>
          </w:r>
          <w:r>
            <w:tab/>
          </w:r>
          <w:r>
            <w:fldChar w:fldCharType="begin"/>
          </w:r>
          <w:r>
            <w:instrText xml:space="preserve"> PAGEREF _Toc13277 \h </w:instrText>
          </w:r>
          <w:r>
            <w:fldChar w:fldCharType="separate"/>
          </w:r>
          <w:r>
            <w:t>56</w:t>
          </w:r>
          <w:r>
            <w:fldChar w:fldCharType="end"/>
          </w:r>
          <w:r>
            <w:rPr>
              <w:color w:val="auto"/>
            </w:rPr>
            <w:fldChar w:fldCharType="end"/>
          </w:r>
        </w:p>
        <w:p w14:paraId="668F4636">
          <w:pPr>
            <w:pStyle w:val="30"/>
            <w:tabs>
              <w:tab w:val="right" w:leader="dot" w:pos="8902"/>
            </w:tabs>
          </w:pPr>
          <w:r>
            <w:rPr>
              <w:color w:val="auto"/>
            </w:rPr>
            <w:fldChar w:fldCharType="begin"/>
          </w:r>
          <w:r>
            <w:instrText xml:space="preserve"> HYPERLINK \l _Toc19813 </w:instrText>
          </w:r>
          <w:r>
            <w:fldChar w:fldCharType="separate"/>
          </w:r>
          <w:r>
            <w:rPr>
              <w:rFonts w:hint="eastAsia"/>
              <w:lang w:val="en-US" w:eastAsia="zh-CN"/>
            </w:rPr>
            <w:t>4.4.2坝基工程地质评价</w:t>
          </w:r>
          <w:r>
            <w:tab/>
          </w:r>
          <w:r>
            <w:fldChar w:fldCharType="begin"/>
          </w:r>
          <w:r>
            <w:instrText xml:space="preserve"> PAGEREF _Toc19813 \h </w:instrText>
          </w:r>
          <w:r>
            <w:fldChar w:fldCharType="separate"/>
          </w:r>
          <w:r>
            <w:t>56</w:t>
          </w:r>
          <w:r>
            <w:fldChar w:fldCharType="end"/>
          </w:r>
          <w:r>
            <w:rPr>
              <w:color w:val="auto"/>
            </w:rPr>
            <w:fldChar w:fldCharType="end"/>
          </w:r>
        </w:p>
        <w:p w14:paraId="41A53079">
          <w:pPr>
            <w:pStyle w:val="30"/>
            <w:tabs>
              <w:tab w:val="right" w:leader="dot" w:pos="8902"/>
            </w:tabs>
          </w:pPr>
          <w:r>
            <w:rPr>
              <w:color w:val="auto"/>
            </w:rPr>
            <w:fldChar w:fldCharType="begin"/>
          </w:r>
          <w:r>
            <w:instrText xml:space="preserve"> HYPERLINK \l _Toc2759 </w:instrText>
          </w:r>
          <w:r>
            <w:fldChar w:fldCharType="separate"/>
          </w:r>
          <w:r>
            <w:rPr>
              <w:rFonts w:hint="eastAsia"/>
              <w:lang w:val="en-US" w:eastAsia="zh-CN"/>
            </w:rPr>
            <w:t>4.4.3周边环境评价</w:t>
          </w:r>
          <w:r>
            <w:tab/>
          </w:r>
          <w:r>
            <w:fldChar w:fldCharType="begin"/>
          </w:r>
          <w:r>
            <w:instrText xml:space="preserve"> PAGEREF _Toc2759 \h </w:instrText>
          </w:r>
          <w:r>
            <w:fldChar w:fldCharType="separate"/>
          </w:r>
          <w:r>
            <w:t>57</w:t>
          </w:r>
          <w:r>
            <w:fldChar w:fldCharType="end"/>
          </w:r>
          <w:r>
            <w:rPr>
              <w:color w:val="auto"/>
            </w:rPr>
            <w:fldChar w:fldCharType="end"/>
          </w:r>
        </w:p>
        <w:p w14:paraId="04967D99">
          <w:pPr>
            <w:pStyle w:val="30"/>
            <w:tabs>
              <w:tab w:val="right" w:leader="dot" w:pos="8902"/>
            </w:tabs>
          </w:pPr>
          <w:r>
            <w:rPr>
              <w:color w:val="auto"/>
            </w:rPr>
            <w:fldChar w:fldCharType="begin"/>
          </w:r>
          <w:r>
            <w:instrText xml:space="preserve"> HYPERLINK \l _Toc25437 </w:instrText>
          </w:r>
          <w:r>
            <w:fldChar w:fldCharType="separate"/>
          </w:r>
          <w:r>
            <w:rPr>
              <w:rFonts w:hint="eastAsia"/>
              <w:lang w:val="en-US" w:eastAsia="zh-CN"/>
            </w:rPr>
            <w:t>4.4.4单元小结</w:t>
          </w:r>
          <w:r>
            <w:tab/>
          </w:r>
          <w:r>
            <w:fldChar w:fldCharType="begin"/>
          </w:r>
          <w:r>
            <w:instrText xml:space="preserve"> PAGEREF _Toc25437 \h </w:instrText>
          </w:r>
          <w:r>
            <w:fldChar w:fldCharType="separate"/>
          </w:r>
          <w:r>
            <w:t>58</w:t>
          </w:r>
          <w:r>
            <w:fldChar w:fldCharType="end"/>
          </w:r>
          <w:r>
            <w:rPr>
              <w:color w:val="auto"/>
            </w:rPr>
            <w:fldChar w:fldCharType="end"/>
          </w:r>
        </w:p>
        <w:p w14:paraId="746FED1D">
          <w:pPr>
            <w:pStyle w:val="48"/>
            <w:tabs>
              <w:tab w:val="right" w:leader="dot" w:pos="8902"/>
            </w:tabs>
          </w:pPr>
          <w:r>
            <w:rPr>
              <w:color w:val="auto"/>
            </w:rPr>
            <w:fldChar w:fldCharType="begin"/>
          </w:r>
          <w:r>
            <w:instrText xml:space="preserve"> HYPERLINK \l _Toc23383 </w:instrText>
          </w:r>
          <w:r>
            <w:fldChar w:fldCharType="separate"/>
          </w:r>
          <w:r>
            <w:rPr>
              <w:rFonts w:hint="eastAsia"/>
              <w:lang w:val="en-US" w:eastAsia="zh-CN"/>
            </w:rPr>
            <w:t>4.5安全监测设施单元</w:t>
          </w:r>
          <w:r>
            <w:tab/>
          </w:r>
          <w:r>
            <w:fldChar w:fldCharType="begin"/>
          </w:r>
          <w:r>
            <w:instrText xml:space="preserve"> PAGEREF _Toc23383 \h </w:instrText>
          </w:r>
          <w:r>
            <w:fldChar w:fldCharType="separate"/>
          </w:r>
          <w:r>
            <w:t>58</w:t>
          </w:r>
          <w:r>
            <w:fldChar w:fldCharType="end"/>
          </w:r>
          <w:r>
            <w:rPr>
              <w:color w:val="auto"/>
            </w:rPr>
            <w:fldChar w:fldCharType="end"/>
          </w:r>
        </w:p>
        <w:p w14:paraId="1A832F42">
          <w:pPr>
            <w:pStyle w:val="30"/>
            <w:tabs>
              <w:tab w:val="right" w:leader="dot" w:pos="8902"/>
            </w:tabs>
          </w:pPr>
          <w:r>
            <w:rPr>
              <w:color w:val="auto"/>
            </w:rPr>
            <w:fldChar w:fldCharType="begin"/>
          </w:r>
          <w:r>
            <w:instrText xml:space="preserve"> HYPERLINK \l _Toc4711 </w:instrText>
          </w:r>
          <w:r>
            <w:fldChar w:fldCharType="separate"/>
          </w:r>
          <w:r>
            <w:rPr>
              <w:rFonts w:hint="eastAsia"/>
            </w:rPr>
            <w:t>4.5.1</w:t>
          </w:r>
          <w:r>
            <w:rPr>
              <w:rFonts w:hint="eastAsia"/>
              <w:lang w:val="en-US" w:eastAsia="zh-CN"/>
            </w:rPr>
            <w:t>安全监测设施</w:t>
          </w:r>
          <w:r>
            <w:t>符合性检查</w:t>
          </w:r>
          <w:r>
            <w:tab/>
          </w:r>
          <w:r>
            <w:fldChar w:fldCharType="begin"/>
          </w:r>
          <w:r>
            <w:instrText xml:space="preserve"> PAGEREF _Toc4711 \h </w:instrText>
          </w:r>
          <w:r>
            <w:fldChar w:fldCharType="separate"/>
          </w:r>
          <w:r>
            <w:t>58</w:t>
          </w:r>
          <w:r>
            <w:fldChar w:fldCharType="end"/>
          </w:r>
          <w:r>
            <w:rPr>
              <w:color w:val="auto"/>
            </w:rPr>
            <w:fldChar w:fldCharType="end"/>
          </w:r>
        </w:p>
        <w:p w14:paraId="60DE4B0A">
          <w:pPr>
            <w:pStyle w:val="30"/>
            <w:tabs>
              <w:tab w:val="right" w:leader="dot" w:pos="8902"/>
            </w:tabs>
          </w:pPr>
          <w:r>
            <w:rPr>
              <w:color w:val="auto"/>
            </w:rPr>
            <w:fldChar w:fldCharType="begin"/>
          </w:r>
          <w:r>
            <w:instrText xml:space="preserve"> HYPERLINK \l _Toc25517 </w:instrText>
          </w:r>
          <w:r>
            <w:fldChar w:fldCharType="separate"/>
          </w:r>
          <w:r>
            <w:rPr>
              <w:rFonts w:hint="eastAsia"/>
              <w:lang w:val="en-US" w:eastAsia="zh-CN"/>
            </w:rPr>
            <w:t>4.5.2单元小结</w:t>
          </w:r>
          <w:r>
            <w:tab/>
          </w:r>
          <w:r>
            <w:fldChar w:fldCharType="begin"/>
          </w:r>
          <w:r>
            <w:instrText xml:space="preserve"> PAGEREF _Toc25517 \h </w:instrText>
          </w:r>
          <w:r>
            <w:fldChar w:fldCharType="separate"/>
          </w:r>
          <w:r>
            <w:t>58</w:t>
          </w:r>
          <w:r>
            <w:fldChar w:fldCharType="end"/>
          </w:r>
          <w:r>
            <w:rPr>
              <w:color w:val="auto"/>
            </w:rPr>
            <w:fldChar w:fldCharType="end"/>
          </w:r>
        </w:p>
        <w:p w14:paraId="008884E4">
          <w:pPr>
            <w:pStyle w:val="48"/>
            <w:tabs>
              <w:tab w:val="right" w:leader="dot" w:pos="8902"/>
            </w:tabs>
          </w:pPr>
          <w:r>
            <w:rPr>
              <w:color w:val="auto"/>
            </w:rPr>
            <w:fldChar w:fldCharType="begin"/>
          </w:r>
          <w:r>
            <w:instrText xml:space="preserve"> HYPERLINK \l _Toc21034 </w:instrText>
          </w:r>
          <w:r>
            <w:fldChar w:fldCharType="separate"/>
          </w:r>
          <w:r>
            <w:rPr>
              <w:rFonts w:hint="eastAsia"/>
              <w:lang w:val="en-US" w:eastAsia="zh-CN"/>
            </w:rPr>
            <w:t>4.6排渗单元</w:t>
          </w:r>
          <w:r>
            <w:tab/>
          </w:r>
          <w:r>
            <w:fldChar w:fldCharType="begin"/>
          </w:r>
          <w:r>
            <w:instrText xml:space="preserve"> PAGEREF _Toc21034 \h </w:instrText>
          </w:r>
          <w:r>
            <w:fldChar w:fldCharType="separate"/>
          </w:r>
          <w:r>
            <w:t>59</w:t>
          </w:r>
          <w:r>
            <w:fldChar w:fldCharType="end"/>
          </w:r>
          <w:r>
            <w:rPr>
              <w:color w:val="auto"/>
            </w:rPr>
            <w:fldChar w:fldCharType="end"/>
          </w:r>
        </w:p>
        <w:p w14:paraId="19AEC028">
          <w:pPr>
            <w:pStyle w:val="30"/>
            <w:tabs>
              <w:tab w:val="right" w:leader="dot" w:pos="8902"/>
            </w:tabs>
          </w:pPr>
          <w:r>
            <w:rPr>
              <w:color w:val="auto"/>
            </w:rPr>
            <w:fldChar w:fldCharType="begin"/>
          </w:r>
          <w:r>
            <w:instrText xml:space="preserve"> HYPERLINK \l _Toc20150 </w:instrText>
          </w:r>
          <w:r>
            <w:fldChar w:fldCharType="separate"/>
          </w:r>
          <w:r>
            <w:rPr>
              <w:rFonts w:hint="eastAsia"/>
              <w:lang w:val="en-US" w:eastAsia="zh-CN"/>
            </w:rPr>
            <w:t>4.6.1排渗单元分析评价</w:t>
          </w:r>
          <w:r>
            <w:tab/>
          </w:r>
          <w:r>
            <w:fldChar w:fldCharType="begin"/>
          </w:r>
          <w:r>
            <w:instrText xml:space="preserve"> PAGEREF _Toc20150 \h </w:instrText>
          </w:r>
          <w:r>
            <w:fldChar w:fldCharType="separate"/>
          </w:r>
          <w:r>
            <w:t>59</w:t>
          </w:r>
          <w:r>
            <w:fldChar w:fldCharType="end"/>
          </w:r>
          <w:r>
            <w:rPr>
              <w:color w:val="auto"/>
            </w:rPr>
            <w:fldChar w:fldCharType="end"/>
          </w:r>
        </w:p>
        <w:p w14:paraId="3067BDF3">
          <w:pPr>
            <w:pStyle w:val="30"/>
            <w:tabs>
              <w:tab w:val="right" w:leader="dot" w:pos="8902"/>
            </w:tabs>
          </w:pPr>
          <w:r>
            <w:rPr>
              <w:color w:val="auto"/>
            </w:rPr>
            <w:fldChar w:fldCharType="begin"/>
          </w:r>
          <w:r>
            <w:instrText xml:space="preserve"> HYPERLINK \l _Toc29754 </w:instrText>
          </w:r>
          <w:r>
            <w:fldChar w:fldCharType="separate"/>
          </w:r>
          <w:r>
            <w:rPr>
              <w:rFonts w:hint="eastAsia"/>
              <w:lang w:val="en-US" w:eastAsia="zh-CN"/>
            </w:rPr>
            <w:t>4.6.2单元小结</w:t>
          </w:r>
          <w:r>
            <w:tab/>
          </w:r>
          <w:r>
            <w:fldChar w:fldCharType="begin"/>
          </w:r>
          <w:r>
            <w:instrText xml:space="preserve"> PAGEREF _Toc29754 \h </w:instrText>
          </w:r>
          <w:r>
            <w:fldChar w:fldCharType="separate"/>
          </w:r>
          <w:r>
            <w:t>59</w:t>
          </w:r>
          <w:r>
            <w:fldChar w:fldCharType="end"/>
          </w:r>
          <w:r>
            <w:rPr>
              <w:color w:val="auto"/>
            </w:rPr>
            <w:fldChar w:fldCharType="end"/>
          </w:r>
        </w:p>
        <w:p w14:paraId="5CE11A76">
          <w:pPr>
            <w:pStyle w:val="48"/>
            <w:tabs>
              <w:tab w:val="right" w:leader="dot" w:pos="8902"/>
            </w:tabs>
          </w:pPr>
          <w:r>
            <w:rPr>
              <w:color w:val="auto"/>
            </w:rPr>
            <w:fldChar w:fldCharType="begin"/>
          </w:r>
          <w:r>
            <w:instrText xml:space="preserve"> HYPERLINK \l _Toc6312 </w:instrText>
          </w:r>
          <w:r>
            <w:fldChar w:fldCharType="separate"/>
          </w:r>
          <w:r>
            <w:rPr>
              <w:rFonts w:hint="eastAsia" w:cs="Times New Roman"/>
            </w:rPr>
            <w:t>4.7</w:t>
          </w:r>
          <w:r>
            <w:t>辅助设施单元评价</w:t>
          </w:r>
          <w:r>
            <w:tab/>
          </w:r>
          <w:r>
            <w:fldChar w:fldCharType="begin"/>
          </w:r>
          <w:r>
            <w:instrText xml:space="preserve"> PAGEREF _Toc6312 \h </w:instrText>
          </w:r>
          <w:r>
            <w:fldChar w:fldCharType="separate"/>
          </w:r>
          <w:r>
            <w:t>59</w:t>
          </w:r>
          <w:r>
            <w:fldChar w:fldCharType="end"/>
          </w:r>
          <w:r>
            <w:rPr>
              <w:color w:val="auto"/>
            </w:rPr>
            <w:fldChar w:fldCharType="end"/>
          </w:r>
        </w:p>
        <w:p w14:paraId="53A5A822">
          <w:pPr>
            <w:pStyle w:val="30"/>
            <w:tabs>
              <w:tab w:val="right" w:leader="dot" w:pos="8902"/>
            </w:tabs>
          </w:pPr>
          <w:r>
            <w:rPr>
              <w:color w:val="auto"/>
            </w:rPr>
            <w:fldChar w:fldCharType="begin"/>
          </w:r>
          <w:r>
            <w:instrText xml:space="preserve"> HYPERLINK \l _Toc31003 </w:instrText>
          </w:r>
          <w:r>
            <w:fldChar w:fldCharType="separate"/>
          </w:r>
          <w:r>
            <w:rPr>
              <w:rFonts w:hint="eastAsia"/>
            </w:rPr>
            <w:t>4.7.1</w:t>
          </w:r>
          <w:r>
            <w:t>辅助设施单元分析评价</w:t>
          </w:r>
          <w:r>
            <w:tab/>
          </w:r>
          <w:r>
            <w:fldChar w:fldCharType="begin"/>
          </w:r>
          <w:r>
            <w:instrText xml:space="preserve"> PAGEREF _Toc31003 \h </w:instrText>
          </w:r>
          <w:r>
            <w:fldChar w:fldCharType="separate"/>
          </w:r>
          <w:r>
            <w:t>59</w:t>
          </w:r>
          <w:r>
            <w:fldChar w:fldCharType="end"/>
          </w:r>
          <w:r>
            <w:rPr>
              <w:color w:val="auto"/>
            </w:rPr>
            <w:fldChar w:fldCharType="end"/>
          </w:r>
        </w:p>
        <w:p w14:paraId="560B2C4B">
          <w:pPr>
            <w:pStyle w:val="30"/>
            <w:tabs>
              <w:tab w:val="right" w:leader="dot" w:pos="8902"/>
            </w:tabs>
          </w:pPr>
          <w:r>
            <w:rPr>
              <w:color w:val="auto"/>
            </w:rPr>
            <w:fldChar w:fldCharType="begin"/>
          </w:r>
          <w:r>
            <w:instrText xml:space="preserve"> HYPERLINK \l _Toc2171 </w:instrText>
          </w:r>
          <w:r>
            <w:fldChar w:fldCharType="separate"/>
          </w:r>
          <w:r>
            <w:rPr>
              <w:rFonts w:hint="eastAsia"/>
            </w:rPr>
            <w:t>4.7.2</w:t>
          </w:r>
          <w:r>
            <w:t>单元小结</w:t>
          </w:r>
          <w:r>
            <w:tab/>
          </w:r>
          <w:r>
            <w:fldChar w:fldCharType="begin"/>
          </w:r>
          <w:r>
            <w:instrText xml:space="preserve"> PAGEREF _Toc2171 \h </w:instrText>
          </w:r>
          <w:r>
            <w:fldChar w:fldCharType="separate"/>
          </w:r>
          <w:r>
            <w:t>59</w:t>
          </w:r>
          <w:r>
            <w:fldChar w:fldCharType="end"/>
          </w:r>
          <w:r>
            <w:rPr>
              <w:color w:val="auto"/>
            </w:rPr>
            <w:fldChar w:fldCharType="end"/>
          </w:r>
        </w:p>
        <w:p w14:paraId="46B361AE">
          <w:pPr>
            <w:pStyle w:val="48"/>
            <w:tabs>
              <w:tab w:val="right" w:leader="dot" w:pos="8902"/>
            </w:tabs>
          </w:pPr>
          <w:r>
            <w:rPr>
              <w:color w:val="auto"/>
            </w:rPr>
            <w:fldChar w:fldCharType="begin"/>
          </w:r>
          <w:r>
            <w:instrText xml:space="preserve"> HYPERLINK \l _Toc14950 </w:instrText>
          </w:r>
          <w:r>
            <w:fldChar w:fldCharType="separate"/>
          </w:r>
          <w:r>
            <w:rPr>
              <w:rFonts w:hint="eastAsia"/>
            </w:rPr>
            <w:t>4.8</w:t>
          </w:r>
          <w:r>
            <w:t>个人安全防护单元</w:t>
          </w:r>
          <w:r>
            <w:tab/>
          </w:r>
          <w:r>
            <w:fldChar w:fldCharType="begin"/>
          </w:r>
          <w:r>
            <w:instrText xml:space="preserve"> PAGEREF _Toc14950 \h </w:instrText>
          </w:r>
          <w:r>
            <w:fldChar w:fldCharType="separate"/>
          </w:r>
          <w:r>
            <w:t>60</w:t>
          </w:r>
          <w:r>
            <w:fldChar w:fldCharType="end"/>
          </w:r>
          <w:r>
            <w:rPr>
              <w:color w:val="auto"/>
            </w:rPr>
            <w:fldChar w:fldCharType="end"/>
          </w:r>
        </w:p>
        <w:p w14:paraId="01137F0D">
          <w:pPr>
            <w:pStyle w:val="30"/>
            <w:tabs>
              <w:tab w:val="right" w:leader="dot" w:pos="8902"/>
            </w:tabs>
          </w:pPr>
          <w:r>
            <w:rPr>
              <w:color w:val="auto"/>
            </w:rPr>
            <w:fldChar w:fldCharType="begin"/>
          </w:r>
          <w:r>
            <w:instrText xml:space="preserve"> HYPERLINK \l _Toc28144 </w:instrText>
          </w:r>
          <w:r>
            <w:fldChar w:fldCharType="separate"/>
          </w:r>
          <w:r>
            <w:rPr>
              <w:rFonts w:hint="eastAsia"/>
            </w:rPr>
            <w:t>4.8.1</w:t>
          </w:r>
          <w:r>
            <w:t>个人安全防护单元安全评价</w:t>
          </w:r>
          <w:r>
            <w:tab/>
          </w:r>
          <w:r>
            <w:fldChar w:fldCharType="begin"/>
          </w:r>
          <w:r>
            <w:instrText xml:space="preserve"> PAGEREF _Toc28144 \h </w:instrText>
          </w:r>
          <w:r>
            <w:fldChar w:fldCharType="separate"/>
          </w:r>
          <w:r>
            <w:t>60</w:t>
          </w:r>
          <w:r>
            <w:fldChar w:fldCharType="end"/>
          </w:r>
          <w:r>
            <w:rPr>
              <w:color w:val="auto"/>
            </w:rPr>
            <w:fldChar w:fldCharType="end"/>
          </w:r>
        </w:p>
        <w:p w14:paraId="199C1187">
          <w:pPr>
            <w:pStyle w:val="30"/>
            <w:tabs>
              <w:tab w:val="right" w:leader="dot" w:pos="8902"/>
            </w:tabs>
          </w:pPr>
          <w:r>
            <w:rPr>
              <w:color w:val="auto"/>
            </w:rPr>
            <w:fldChar w:fldCharType="begin"/>
          </w:r>
          <w:r>
            <w:instrText xml:space="preserve"> HYPERLINK \l _Toc31515 </w:instrText>
          </w:r>
          <w:r>
            <w:fldChar w:fldCharType="separate"/>
          </w:r>
          <w:r>
            <w:rPr>
              <w:rFonts w:hint="eastAsia"/>
            </w:rPr>
            <w:t>4.8.2</w:t>
          </w:r>
          <w:r>
            <w:t>单元小结</w:t>
          </w:r>
          <w:r>
            <w:tab/>
          </w:r>
          <w:r>
            <w:fldChar w:fldCharType="begin"/>
          </w:r>
          <w:r>
            <w:instrText xml:space="preserve"> PAGEREF _Toc31515 \h </w:instrText>
          </w:r>
          <w:r>
            <w:fldChar w:fldCharType="separate"/>
          </w:r>
          <w:r>
            <w:t>60</w:t>
          </w:r>
          <w:r>
            <w:fldChar w:fldCharType="end"/>
          </w:r>
          <w:r>
            <w:rPr>
              <w:color w:val="auto"/>
            </w:rPr>
            <w:fldChar w:fldCharType="end"/>
          </w:r>
        </w:p>
        <w:p w14:paraId="3D095353">
          <w:pPr>
            <w:pStyle w:val="48"/>
            <w:tabs>
              <w:tab w:val="right" w:leader="dot" w:pos="8902"/>
            </w:tabs>
          </w:pPr>
          <w:r>
            <w:rPr>
              <w:color w:val="auto"/>
            </w:rPr>
            <w:fldChar w:fldCharType="begin"/>
          </w:r>
          <w:r>
            <w:instrText xml:space="preserve"> HYPERLINK \l _Toc4402 </w:instrText>
          </w:r>
          <w:r>
            <w:fldChar w:fldCharType="separate"/>
          </w:r>
          <w:r>
            <w:rPr>
              <w:rFonts w:hint="eastAsia"/>
              <w:lang w:val="en-US" w:eastAsia="zh-CN"/>
            </w:rPr>
            <w:t>4.9安全标志单元</w:t>
          </w:r>
          <w:r>
            <w:tab/>
          </w:r>
          <w:r>
            <w:fldChar w:fldCharType="begin"/>
          </w:r>
          <w:r>
            <w:instrText xml:space="preserve"> PAGEREF _Toc4402 \h </w:instrText>
          </w:r>
          <w:r>
            <w:fldChar w:fldCharType="separate"/>
          </w:r>
          <w:r>
            <w:t>60</w:t>
          </w:r>
          <w:r>
            <w:fldChar w:fldCharType="end"/>
          </w:r>
          <w:r>
            <w:rPr>
              <w:color w:val="auto"/>
            </w:rPr>
            <w:fldChar w:fldCharType="end"/>
          </w:r>
        </w:p>
        <w:p w14:paraId="42D7DA39">
          <w:pPr>
            <w:pStyle w:val="48"/>
            <w:tabs>
              <w:tab w:val="right" w:leader="dot" w:pos="8902"/>
            </w:tabs>
          </w:pPr>
          <w:r>
            <w:rPr>
              <w:color w:val="auto"/>
            </w:rPr>
            <w:fldChar w:fldCharType="begin"/>
          </w:r>
          <w:r>
            <w:instrText xml:space="preserve"> HYPERLINK \l _Toc14169 </w:instrText>
          </w:r>
          <w:r>
            <w:fldChar w:fldCharType="separate"/>
          </w:r>
          <w:r>
            <w:rPr>
              <w:rFonts w:hint="eastAsia" w:cs="Times New Roman"/>
            </w:rPr>
            <w:t>4.10</w:t>
          </w:r>
          <w:r>
            <w:t>安全管理单元</w:t>
          </w:r>
          <w:r>
            <w:tab/>
          </w:r>
          <w:r>
            <w:fldChar w:fldCharType="begin"/>
          </w:r>
          <w:r>
            <w:instrText xml:space="preserve"> PAGEREF _Toc14169 \h </w:instrText>
          </w:r>
          <w:r>
            <w:fldChar w:fldCharType="separate"/>
          </w:r>
          <w:r>
            <w:t>60</w:t>
          </w:r>
          <w:r>
            <w:fldChar w:fldCharType="end"/>
          </w:r>
          <w:r>
            <w:rPr>
              <w:color w:val="auto"/>
            </w:rPr>
            <w:fldChar w:fldCharType="end"/>
          </w:r>
        </w:p>
        <w:p w14:paraId="6D6A4999">
          <w:pPr>
            <w:pStyle w:val="30"/>
            <w:tabs>
              <w:tab w:val="right" w:leader="dot" w:pos="8902"/>
            </w:tabs>
          </w:pPr>
          <w:r>
            <w:rPr>
              <w:color w:val="auto"/>
            </w:rPr>
            <w:fldChar w:fldCharType="begin"/>
          </w:r>
          <w:r>
            <w:instrText xml:space="preserve"> HYPERLINK \l _Toc26639 </w:instrText>
          </w:r>
          <w:r>
            <w:fldChar w:fldCharType="separate"/>
          </w:r>
          <w:r>
            <w:rPr>
              <w:rFonts w:hint="eastAsia"/>
            </w:rPr>
            <w:t>4.10.1</w:t>
          </w:r>
          <w:r>
            <w:rPr>
              <w:rFonts w:hint="eastAsia"/>
              <w:lang w:val="en-US" w:eastAsia="zh-CN"/>
            </w:rPr>
            <w:t>安全管理单元评价</w:t>
          </w:r>
          <w:r>
            <w:tab/>
          </w:r>
          <w:r>
            <w:fldChar w:fldCharType="begin"/>
          </w:r>
          <w:r>
            <w:instrText xml:space="preserve"> PAGEREF _Toc26639 \h </w:instrText>
          </w:r>
          <w:r>
            <w:fldChar w:fldCharType="separate"/>
          </w:r>
          <w:r>
            <w:t>60</w:t>
          </w:r>
          <w:r>
            <w:fldChar w:fldCharType="end"/>
          </w:r>
          <w:r>
            <w:rPr>
              <w:color w:val="auto"/>
            </w:rPr>
            <w:fldChar w:fldCharType="end"/>
          </w:r>
        </w:p>
        <w:p w14:paraId="4C6CFAE2">
          <w:pPr>
            <w:pStyle w:val="30"/>
            <w:tabs>
              <w:tab w:val="right" w:leader="dot" w:pos="8902"/>
            </w:tabs>
          </w:pPr>
          <w:r>
            <w:rPr>
              <w:color w:val="auto"/>
            </w:rPr>
            <w:fldChar w:fldCharType="begin"/>
          </w:r>
          <w:r>
            <w:instrText xml:space="preserve"> HYPERLINK \l _Toc5917 </w:instrText>
          </w:r>
          <w:r>
            <w:fldChar w:fldCharType="separate"/>
          </w:r>
          <w:r>
            <w:rPr>
              <w:rFonts w:hint="eastAsia"/>
            </w:rPr>
            <w:t>4.10.2</w:t>
          </w:r>
          <w:r>
            <w:t>单元小结</w:t>
          </w:r>
          <w:r>
            <w:tab/>
          </w:r>
          <w:r>
            <w:fldChar w:fldCharType="begin"/>
          </w:r>
          <w:r>
            <w:instrText xml:space="preserve"> PAGEREF _Toc5917 \h </w:instrText>
          </w:r>
          <w:r>
            <w:fldChar w:fldCharType="separate"/>
          </w:r>
          <w:r>
            <w:t>60</w:t>
          </w:r>
          <w:r>
            <w:fldChar w:fldCharType="end"/>
          </w:r>
          <w:r>
            <w:rPr>
              <w:color w:val="auto"/>
            </w:rPr>
            <w:fldChar w:fldCharType="end"/>
          </w:r>
        </w:p>
        <w:p w14:paraId="61D936BF">
          <w:pPr>
            <w:pStyle w:val="39"/>
            <w:tabs>
              <w:tab w:val="right" w:leader="dot" w:pos="8902"/>
            </w:tabs>
          </w:pPr>
          <w:r>
            <w:rPr>
              <w:color w:val="auto"/>
            </w:rPr>
            <w:fldChar w:fldCharType="begin"/>
          </w:r>
          <w:r>
            <w:instrText xml:space="preserve"> HYPERLINK \l _Toc1621 </w:instrText>
          </w:r>
          <w:r>
            <w:fldChar w:fldCharType="separate"/>
          </w:r>
          <w:r>
            <w:rPr>
              <w:rFonts w:hint="eastAsia"/>
            </w:rPr>
            <w:t>5.</w:t>
          </w:r>
          <w:r>
            <w:t>安全对策措施建议</w:t>
          </w:r>
          <w:r>
            <w:tab/>
          </w:r>
          <w:r>
            <w:fldChar w:fldCharType="begin"/>
          </w:r>
          <w:r>
            <w:instrText xml:space="preserve"> PAGEREF _Toc1621 \h </w:instrText>
          </w:r>
          <w:r>
            <w:fldChar w:fldCharType="separate"/>
          </w:r>
          <w:r>
            <w:t>62</w:t>
          </w:r>
          <w:r>
            <w:fldChar w:fldCharType="end"/>
          </w:r>
          <w:r>
            <w:rPr>
              <w:color w:val="auto"/>
            </w:rPr>
            <w:fldChar w:fldCharType="end"/>
          </w:r>
        </w:p>
        <w:p w14:paraId="08818606">
          <w:pPr>
            <w:pStyle w:val="48"/>
            <w:tabs>
              <w:tab w:val="right" w:leader="dot" w:pos="8902"/>
            </w:tabs>
          </w:pPr>
          <w:r>
            <w:rPr>
              <w:color w:val="auto"/>
            </w:rPr>
            <w:fldChar w:fldCharType="begin"/>
          </w:r>
          <w:r>
            <w:instrText xml:space="preserve"> HYPERLINK \l _Toc17335 </w:instrText>
          </w:r>
          <w:r>
            <w:fldChar w:fldCharType="separate"/>
          </w:r>
          <w:r>
            <w:rPr>
              <w:rFonts w:hint="eastAsia"/>
            </w:rPr>
            <w:t>5.1</w:t>
          </w:r>
          <w:r>
            <w:t>尾矿库闭库单元</w:t>
          </w:r>
          <w:r>
            <w:tab/>
          </w:r>
          <w:r>
            <w:fldChar w:fldCharType="begin"/>
          </w:r>
          <w:r>
            <w:instrText xml:space="preserve"> PAGEREF _Toc17335 \h </w:instrText>
          </w:r>
          <w:r>
            <w:fldChar w:fldCharType="separate"/>
          </w:r>
          <w:r>
            <w:t>62</w:t>
          </w:r>
          <w:r>
            <w:fldChar w:fldCharType="end"/>
          </w:r>
          <w:r>
            <w:rPr>
              <w:color w:val="auto"/>
            </w:rPr>
            <w:fldChar w:fldCharType="end"/>
          </w:r>
        </w:p>
        <w:p w14:paraId="4AC3F3EE">
          <w:pPr>
            <w:pStyle w:val="48"/>
            <w:tabs>
              <w:tab w:val="right" w:leader="dot" w:pos="8902"/>
            </w:tabs>
          </w:pPr>
          <w:r>
            <w:rPr>
              <w:color w:val="auto"/>
            </w:rPr>
            <w:fldChar w:fldCharType="begin"/>
          </w:r>
          <w:r>
            <w:instrText xml:space="preserve"> HYPERLINK \l _Toc10725 </w:instrText>
          </w:r>
          <w:r>
            <w:fldChar w:fldCharType="separate"/>
          </w:r>
          <w:r>
            <w:rPr>
              <w:rFonts w:hint="eastAsia"/>
            </w:rPr>
            <w:t>5.2</w:t>
          </w:r>
          <w:r>
            <w:t>安全管理单元</w:t>
          </w:r>
          <w:r>
            <w:tab/>
          </w:r>
          <w:r>
            <w:fldChar w:fldCharType="begin"/>
          </w:r>
          <w:r>
            <w:instrText xml:space="preserve"> PAGEREF _Toc10725 \h </w:instrText>
          </w:r>
          <w:r>
            <w:fldChar w:fldCharType="separate"/>
          </w:r>
          <w:r>
            <w:t>62</w:t>
          </w:r>
          <w:r>
            <w:fldChar w:fldCharType="end"/>
          </w:r>
          <w:r>
            <w:rPr>
              <w:color w:val="auto"/>
            </w:rPr>
            <w:fldChar w:fldCharType="end"/>
          </w:r>
        </w:p>
        <w:p w14:paraId="2CBD8E37">
          <w:pPr>
            <w:pStyle w:val="39"/>
            <w:tabs>
              <w:tab w:val="right" w:leader="dot" w:pos="8902"/>
            </w:tabs>
          </w:pPr>
          <w:r>
            <w:rPr>
              <w:color w:val="auto"/>
            </w:rPr>
            <w:fldChar w:fldCharType="begin"/>
          </w:r>
          <w:r>
            <w:instrText xml:space="preserve"> HYPERLINK \l _Toc7694 </w:instrText>
          </w:r>
          <w:r>
            <w:fldChar w:fldCharType="separate"/>
          </w:r>
          <w:r>
            <w:rPr>
              <w:rFonts w:hint="eastAsia"/>
            </w:rPr>
            <w:t>6.</w:t>
          </w:r>
          <w:r>
            <w:t>安全验收结论</w:t>
          </w:r>
          <w:r>
            <w:tab/>
          </w:r>
          <w:r>
            <w:fldChar w:fldCharType="begin"/>
          </w:r>
          <w:r>
            <w:instrText xml:space="preserve"> PAGEREF _Toc7694 \h </w:instrText>
          </w:r>
          <w:r>
            <w:fldChar w:fldCharType="separate"/>
          </w:r>
          <w:r>
            <w:t>63</w:t>
          </w:r>
          <w:r>
            <w:fldChar w:fldCharType="end"/>
          </w:r>
          <w:r>
            <w:rPr>
              <w:color w:val="auto"/>
            </w:rPr>
            <w:fldChar w:fldCharType="end"/>
          </w:r>
        </w:p>
        <w:p w14:paraId="13D3B9A2">
          <w:pPr>
            <w:pStyle w:val="48"/>
            <w:tabs>
              <w:tab w:val="right" w:leader="dot" w:pos="8902"/>
            </w:tabs>
          </w:pPr>
          <w:r>
            <w:rPr>
              <w:color w:val="auto"/>
            </w:rPr>
            <w:fldChar w:fldCharType="begin"/>
          </w:r>
          <w:r>
            <w:instrText xml:space="preserve"> HYPERLINK \l _Toc2157 </w:instrText>
          </w:r>
          <w:r>
            <w:fldChar w:fldCharType="separate"/>
          </w:r>
          <w:r>
            <w:rPr>
              <w:rFonts w:hint="eastAsia" w:cs="Times New Roman"/>
            </w:rPr>
            <w:t>6.1</w:t>
          </w:r>
          <w:r>
            <w:rPr>
              <w:rFonts w:cs="Times New Roman"/>
            </w:rPr>
            <w:t>建设项目符合性评价综述</w:t>
          </w:r>
          <w:r>
            <w:tab/>
          </w:r>
          <w:r>
            <w:fldChar w:fldCharType="begin"/>
          </w:r>
          <w:r>
            <w:instrText xml:space="preserve"> PAGEREF _Toc2157 \h </w:instrText>
          </w:r>
          <w:r>
            <w:fldChar w:fldCharType="separate"/>
          </w:r>
          <w:r>
            <w:t>63</w:t>
          </w:r>
          <w:r>
            <w:fldChar w:fldCharType="end"/>
          </w:r>
          <w:r>
            <w:rPr>
              <w:color w:val="auto"/>
            </w:rPr>
            <w:fldChar w:fldCharType="end"/>
          </w:r>
        </w:p>
        <w:p w14:paraId="7D41C53E">
          <w:pPr>
            <w:pStyle w:val="30"/>
            <w:tabs>
              <w:tab w:val="right" w:leader="dot" w:pos="8902"/>
            </w:tabs>
          </w:pPr>
          <w:r>
            <w:rPr>
              <w:color w:val="auto"/>
            </w:rPr>
            <w:fldChar w:fldCharType="begin"/>
          </w:r>
          <w:r>
            <w:instrText xml:space="preserve"> HYPERLINK \l _Toc1009 </w:instrText>
          </w:r>
          <w:r>
            <w:fldChar w:fldCharType="separate"/>
          </w:r>
          <w:r>
            <w:rPr>
              <w:rFonts w:hint="eastAsia"/>
              <w:lang w:val="en-US" w:eastAsia="zh-CN"/>
            </w:rPr>
            <w:t>6.1.1建设项目与安全设施设计的符合性评价</w:t>
          </w:r>
          <w:r>
            <w:tab/>
          </w:r>
          <w:r>
            <w:fldChar w:fldCharType="begin"/>
          </w:r>
          <w:r>
            <w:instrText xml:space="preserve"> PAGEREF _Toc1009 \h </w:instrText>
          </w:r>
          <w:r>
            <w:fldChar w:fldCharType="separate"/>
          </w:r>
          <w:r>
            <w:t>63</w:t>
          </w:r>
          <w:r>
            <w:fldChar w:fldCharType="end"/>
          </w:r>
          <w:r>
            <w:rPr>
              <w:color w:val="auto"/>
            </w:rPr>
            <w:fldChar w:fldCharType="end"/>
          </w:r>
        </w:p>
        <w:p w14:paraId="56815B02">
          <w:pPr>
            <w:pStyle w:val="30"/>
            <w:tabs>
              <w:tab w:val="right" w:leader="dot" w:pos="8902"/>
            </w:tabs>
          </w:pPr>
          <w:r>
            <w:rPr>
              <w:color w:val="auto"/>
            </w:rPr>
            <w:fldChar w:fldCharType="begin"/>
          </w:r>
          <w:r>
            <w:instrText xml:space="preserve"> HYPERLINK \l _Toc29678 </w:instrText>
          </w:r>
          <w:r>
            <w:fldChar w:fldCharType="separate"/>
          </w:r>
          <w:r>
            <w:rPr>
              <w:rFonts w:hint="eastAsia" w:ascii="Times New Roman" w:hAnsi="Times New Roman" w:eastAsia="宋体" w:cs="Times New Roman"/>
              <w:lang w:val="en-US" w:eastAsia="zh-CN"/>
            </w:rPr>
            <w:t>6.1.2建设项目安全设施竣工验收表</w:t>
          </w:r>
          <w:r>
            <w:tab/>
          </w:r>
          <w:r>
            <w:fldChar w:fldCharType="begin"/>
          </w:r>
          <w:r>
            <w:instrText xml:space="preserve"> PAGEREF _Toc29678 \h </w:instrText>
          </w:r>
          <w:r>
            <w:fldChar w:fldCharType="separate"/>
          </w:r>
          <w:r>
            <w:t>63</w:t>
          </w:r>
          <w:r>
            <w:fldChar w:fldCharType="end"/>
          </w:r>
          <w:r>
            <w:rPr>
              <w:color w:val="auto"/>
            </w:rPr>
            <w:fldChar w:fldCharType="end"/>
          </w:r>
        </w:p>
        <w:p w14:paraId="168D7AC4">
          <w:pPr>
            <w:pStyle w:val="48"/>
            <w:tabs>
              <w:tab w:val="right" w:leader="dot" w:pos="8902"/>
            </w:tabs>
          </w:pPr>
          <w:r>
            <w:rPr>
              <w:color w:val="auto"/>
            </w:rPr>
            <w:fldChar w:fldCharType="begin"/>
          </w:r>
          <w:r>
            <w:instrText xml:space="preserve"> HYPERLINK \l _Toc1287 </w:instrText>
          </w:r>
          <w:r>
            <w:fldChar w:fldCharType="separate"/>
          </w:r>
          <w:r>
            <w:rPr>
              <w:rFonts w:hint="eastAsia"/>
              <w:lang w:val="en-US" w:eastAsia="zh-CN"/>
            </w:rPr>
            <w:t>6.2尾矿库闭库条件分析</w:t>
          </w:r>
          <w:r>
            <w:tab/>
          </w:r>
          <w:r>
            <w:fldChar w:fldCharType="begin"/>
          </w:r>
          <w:r>
            <w:instrText xml:space="preserve"> PAGEREF _Toc1287 \h </w:instrText>
          </w:r>
          <w:r>
            <w:fldChar w:fldCharType="separate"/>
          </w:r>
          <w:r>
            <w:t>63</w:t>
          </w:r>
          <w:r>
            <w:fldChar w:fldCharType="end"/>
          </w:r>
          <w:r>
            <w:rPr>
              <w:color w:val="auto"/>
            </w:rPr>
            <w:fldChar w:fldCharType="end"/>
          </w:r>
        </w:p>
        <w:p w14:paraId="67A1BD5E">
          <w:pPr>
            <w:pStyle w:val="48"/>
            <w:tabs>
              <w:tab w:val="right" w:leader="dot" w:pos="8902"/>
            </w:tabs>
          </w:pPr>
          <w:r>
            <w:rPr>
              <w:color w:val="auto"/>
            </w:rPr>
            <w:fldChar w:fldCharType="begin"/>
          </w:r>
          <w:r>
            <w:instrText xml:space="preserve"> HYPERLINK \l _Toc21626 </w:instrText>
          </w:r>
          <w:r>
            <w:fldChar w:fldCharType="separate"/>
          </w:r>
          <w:r>
            <w:rPr>
              <w:rFonts w:hint="eastAsia" w:cs="Times New Roman"/>
            </w:rPr>
            <w:t>6.3</w:t>
          </w:r>
          <w:r>
            <w:rPr>
              <w:rFonts w:cs="Times New Roman"/>
            </w:rPr>
            <w:t>验收结论</w:t>
          </w:r>
          <w:r>
            <w:tab/>
          </w:r>
          <w:r>
            <w:fldChar w:fldCharType="begin"/>
          </w:r>
          <w:r>
            <w:instrText xml:space="preserve"> PAGEREF _Toc21626 \h </w:instrText>
          </w:r>
          <w:r>
            <w:fldChar w:fldCharType="separate"/>
          </w:r>
          <w:r>
            <w:t>64</w:t>
          </w:r>
          <w:r>
            <w:fldChar w:fldCharType="end"/>
          </w:r>
          <w:r>
            <w:rPr>
              <w:color w:val="auto"/>
            </w:rPr>
            <w:fldChar w:fldCharType="end"/>
          </w:r>
        </w:p>
        <w:p w14:paraId="5588E67D">
          <w:pPr>
            <w:pStyle w:val="39"/>
            <w:tabs>
              <w:tab w:val="right" w:leader="dot" w:pos="8902"/>
            </w:tabs>
          </w:pPr>
          <w:r>
            <w:rPr>
              <w:color w:val="auto"/>
            </w:rPr>
            <w:fldChar w:fldCharType="begin"/>
          </w:r>
          <w:r>
            <w:instrText xml:space="preserve"> HYPERLINK \l _Toc11289 </w:instrText>
          </w:r>
          <w:r>
            <w:fldChar w:fldCharType="separate"/>
          </w:r>
          <w:r>
            <w:rPr>
              <w:rFonts w:hint="eastAsia"/>
            </w:rPr>
            <w:t>7.</w:t>
          </w:r>
          <w:r>
            <w:t>附件</w:t>
          </w:r>
          <w:r>
            <w:tab/>
          </w:r>
          <w:r>
            <w:fldChar w:fldCharType="begin"/>
          </w:r>
          <w:r>
            <w:instrText xml:space="preserve"> PAGEREF _Toc11289 \h </w:instrText>
          </w:r>
          <w:r>
            <w:fldChar w:fldCharType="separate"/>
          </w:r>
          <w:r>
            <w:t>66</w:t>
          </w:r>
          <w:r>
            <w:fldChar w:fldCharType="end"/>
          </w:r>
          <w:r>
            <w:rPr>
              <w:color w:val="auto"/>
            </w:rPr>
            <w:fldChar w:fldCharType="end"/>
          </w:r>
        </w:p>
        <w:p w14:paraId="37F4BC99">
          <w:pPr>
            <w:pStyle w:val="48"/>
            <w:tabs>
              <w:tab w:val="right" w:leader="dot" w:pos="8902"/>
            </w:tabs>
          </w:pPr>
          <w:r>
            <w:rPr>
              <w:color w:val="auto"/>
            </w:rPr>
            <w:fldChar w:fldCharType="begin"/>
          </w:r>
          <w:r>
            <w:instrText xml:space="preserve"> HYPERLINK \l _Toc10440 </w:instrText>
          </w:r>
          <w:r>
            <w:fldChar w:fldCharType="separate"/>
          </w:r>
          <w:r>
            <w:rPr>
              <w:rFonts w:hint="eastAsia"/>
            </w:rPr>
            <w:t>7.1</w:t>
          </w:r>
          <w:r>
            <w:t>生产经营单位概况</w:t>
          </w:r>
          <w:r>
            <w:tab/>
          </w:r>
          <w:r>
            <w:fldChar w:fldCharType="begin"/>
          </w:r>
          <w:r>
            <w:instrText xml:space="preserve"> PAGEREF _Toc10440 \h </w:instrText>
          </w:r>
          <w:r>
            <w:fldChar w:fldCharType="separate"/>
          </w:r>
          <w:r>
            <w:t>66</w:t>
          </w:r>
          <w:r>
            <w:fldChar w:fldCharType="end"/>
          </w:r>
          <w:r>
            <w:rPr>
              <w:color w:val="auto"/>
            </w:rPr>
            <w:fldChar w:fldCharType="end"/>
          </w:r>
        </w:p>
        <w:p w14:paraId="36CE88A6">
          <w:pPr>
            <w:pStyle w:val="48"/>
            <w:tabs>
              <w:tab w:val="right" w:leader="dot" w:pos="8902"/>
            </w:tabs>
          </w:pPr>
          <w:r>
            <w:rPr>
              <w:color w:val="auto"/>
            </w:rPr>
            <w:fldChar w:fldCharType="begin"/>
          </w:r>
          <w:r>
            <w:instrText xml:space="preserve"> HYPERLINK \l _Toc26568 </w:instrText>
          </w:r>
          <w:r>
            <w:fldChar w:fldCharType="separate"/>
          </w:r>
          <w:r>
            <w:rPr>
              <w:rFonts w:hint="eastAsia"/>
            </w:rPr>
            <w:t>7.2</w:t>
          </w:r>
          <w:r>
            <w:t>落实安全设施三同时程序文件</w:t>
          </w:r>
          <w:r>
            <w:tab/>
          </w:r>
          <w:r>
            <w:fldChar w:fldCharType="begin"/>
          </w:r>
          <w:r>
            <w:instrText xml:space="preserve"> PAGEREF _Toc26568 \h </w:instrText>
          </w:r>
          <w:r>
            <w:fldChar w:fldCharType="separate"/>
          </w:r>
          <w:r>
            <w:t>66</w:t>
          </w:r>
          <w:r>
            <w:fldChar w:fldCharType="end"/>
          </w:r>
          <w:r>
            <w:rPr>
              <w:color w:val="auto"/>
            </w:rPr>
            <w:fldChar w:fldCharType="end"/>
          </w:r>
        </w:p>
        <w:p w14:paraId="03154532">
          <w:pPr>
            <w:pStyle w:val="48"/>
            <w:tabs>
              <w:tab w:val="right" w:leader="dot" w:pos="8902"/>
            </w:tabs>
          </w:pPr>
          <w:r>
            <w:rPr>
              <w:color w:val="auto"/>
            </w:rPr>
            <w:fldChar w:fldCharType="begin"/>
          </w:r>
          <w:r>
            <w:instrText xml:space="preserve"> HYPERLINK \l _Toc3221 </w:instrText>
          </w:r>
          <w:r>
            <w:fldChar w:fldCharType="separate"/>
          </w:r>
          <w:r>
            <w:rPr>
              <w:rFonts w:hint="eastAsia" w:cs="Times New Roman"/>
            </w:rPr>
            <w:t>7.3</w:t>
          </w:r>
          <w:r>
            <w:rPr>
              <w:rFonts w:cs="Times New Roman"/>
            </w:rPr>
            <w:t>项目技术文件</w:t>
          </w:r>
          <w:r>
            <w:tab/>
          </w:r>
          <w:r>
            <w:fldChar w:fldCharType="begin"/>
          </w:r>
          <w:r>
            <w:instrText xml:space="preserve"> PAGEREF _Toc3221 \h </w:instrText>
          </w:r>
          <w:r>
            <w:fldChar w:fldCharType="separate"/>
          </w:r>
          <w:r>
            <w:t>66</w:t>
          </w:r>
          <w:r>
            <w:fldChar w:fldCharType="end"/>
          </w:r>
          <w:r>
            <w:rPr>
              <w:color w:val="auto"/>
            </w:rPr>
            <w:fldChar w:fldCharType="end"/>
          </w:r>
        </w:p>
        <w:p w14:paraId="399E20E7">
          <w:pPr>
            <w:pStyle w:val="48"/>
            <w:tabs>
              <w:tab w:val="right" w:leader="dot" w:pos="8902"/>
            </w:tabs>
          </w:pPr>
          <w:r>
            <w:rPr>
              <w:color w:val="auto"/>
            </w:rPr>
            <w:fldChar w:fldCharType="begin"/>
          </w:r>
          <w:r>
            <w:instrText xml:space="preserve"> HYPERLINK \l _Toc13813 </w:instrText>
          </w:r>
          <w:r>
            <w:fldChar w:fldCharType="separate"/>
          </w:r>
          <w:r>
            <w:rPr>
              <w:rFonts w:hint="eastAsia" w:cs="Times New Roman"/>
            </w:rPr>
            <w:t>7.4</w:t>
          </w:r>
          <w:r>
            <w:rPr>
              <w:rFonts w:cs="Times New Roman"/>
            </w:rPr>
            <w:t>项目建设情况</w:t>
          </w:r>
          <w:r>
            <w:tab/>
          </w:r>
          <w:r>
            <w:fldChar w:fldCharType="begin"/>
          </w:r>
          <w:r>
            <w:instrText xml:space="preserve"> PAGEREF _Toc13813 \h </w:instrText>
          </w:r>
          <w:r>
            <w:fldChar w:fldCharType="separate"/>
          </w:r>
          <w:r>
            <w:t>66</w:t>
          </w:r>
          <w:r>
            <w:fldChar w:fldCharType="end"/>
          </w:r>
          <w:r>
            <w:rPr>
              <w:color w:val="auto"/>
            </w:rPr>
            <w:fldChar w:fldCharType="end"/>
          </w:r>
        </w:p>
        <w:p w14:paraId="3B8D6586">
          <w:pPr>
            <w:pStyle w:val="48"/>
            <w:tabs>
              <w:tab w:val="right" w:leader="dot" w:pos="8902"/>
            </w:tabs>
          </w:pPr>
          <w:r>
            <w:rPr>
              <w:color w:val="auto"/>
            </w:rPr>
            <w:fldChar w:fldCharType="begin"/>
          </w:r>
          <w:r>
            <w:instrText xml:space="preserve"> HYPERLINK \l _Toc31471 </w:instrText>
          </w:r>
          <w:r>
            <w:fldChar w:fldCharType="separate"/>
          </w:r>
          <w:r>
            <w:rPr>
              <w:rFonts w:hint="eastAsia" w:cs="Times New Roman"/>
            </w:rPr>
            <w:t>7.5</w:t>
          </w:r>
          <w:r>
            <w:rPr>
              <w:rFonts w:cs="Times New Roman"/>
            </w:rPr>
            <w:t>安全管理资料</w:t>
          </w:r>
          <w:r>
            <w:tab/>
          </w:r>
          <w:r>
            <w:fldChar w:fldCharType="begin"/>
          </w:r>
          <w:r>
            <w:instrText xml:space="preserve"> PAGEREF _Toc31471 \h </w:instrText>
          </w:r>
          <w:r>
            <w:fldChar w:fldCharType="separate"/>
          </w:r>
          <w:r>
            <w:t>66</w:t>
          </w:r>
          <w:r>
            <w:fldChar w:fldCharType="end"/>
          </w:r>
          <w:r>
            <w:rPr>
              <w:color w:val="auto"/>
            </w:rPr>
            <w:fldChar w:fldCharType="end"/>
          </w:r>
        </w:p>
        <w:p w14:paraId="4154CCA6">
          <w:pPr>
            <w:pStyle w:val="39"/>
            <w:tabs>
              <w:tab w:val="right" w:leader="dot" w:pos="8902"/>
            </w:tabs>
          </w:pPr>
          <w:r>
            <w:rPr>
              <w:color w:val="auto"/>
            </w:rPr>
            <w:fldChar w:fldCharType="begin"/>
          </w:r>
          <w:r>
            <w:instrText xml:space="preserve"> HYPERLINK \l _Toc3938 </w:instrText>
          </w:r>
          <w:r>
            <w:fldChar w:fldCharType="separate"/>
          </w:r>
          <w:r>
            <w:rPr>
              <w:rFonts w:hint="eastAsia"/>
            </w:rPr>
            <w:t>8.</w:t>
          </w:r>
          <w:r>
            <w:t>附图</w:t>
          </w:r>
          <w:r>
            <w:tab/>
          </w:r>
          <w:r>
            <w:fldChar w:fldCharType="begin"/>
          </w:r>
          <w:r>
            <w:instrText xml:space="preserve"> PAGEREF _Toc3938 \h </w:instrText>
          </w:r>
          <w:r>
            <w:fldChar w:fldCharType="separate"/>
          </w:r>
          <w:r>
            <w:t>66</w:t>
          </w:r>
          <w:r>
            <w:fldChar w:fldCharType="end"/>
          </w:r>
          <w:r>
            <w:rPr>
              <w:color w:val="auto"/>
            </w:rPr>
            <w:fldChar w:fldCharType="end"/>
          </w:r>
        </w:p>
        <w:p w14:paraId="6B718AA5">
          <w:pPr>
            <w:pStyle w:val="56"/>
            <w:ind w:left="0" w:leftChars="0" w:firstLine="0" w:firstLineChars="0"/>
            <w:rPr>
              <w:color w:val="auto"/>
            </w:rPr>
            <w:sectPr>
              <w:headerReference r:id="rId7" w:type="first"/>
              <w:footerReference r:id="rId10" w:type="first"/>
              <w:headerReference r:id="rId5" w:type="default"/>
              <w:footerReference r:id="rId8" w:type="default"/>
              <w:headerReference r:id="rId6" w:type="even"/>
              <w:footerReference r:id="rId9" w:type="even"/>
              <w:pgSz w:w="11906" w:h="16838"/>
              <w:pgMar w:top="1417" w:right="1587" w:bottom="1417" w:left="1417" w:header="964" w:footer="964" w:gutter="0"/>
              <w:pgNumType w:fmt="decimal"/>
              <w:cols w:space="425" w:num="1"/>
              <w:docGrid w:type="lines" w:linePitch="312" w:charSpace="0"/>
            </w:sectPr>
          </w:pPr>
          <w:r>
            <w:rPr>
              <w:color w:val="auto"/>
            </w:rPr>
            <w:fldChar w:fldCharType="end"/>
          </w:r>
          <w:bookmarkStart w:id="579" w:name="_GoBack"/>
          <w:bookmarkEnd w:id="579"/>
        </w:p>
      </w:sdtContent>
    </w:sdt>
    <w:bookmarkEnd w:id="3"/>
    <w:bookmarkEnd w:id="4"/>
    <w:bookmarkEnd w:id="5"/>
    <w:bookmarkEnd w:id="6"/>
    <w:p w14:paraId="1719B0E8">
      <w:pPr>
        <w:pStyle w:val="3"/>
        <w:jc w:val="center"/>
        <w:rPr>
          <w:color w:val="auto"/>
        </w:rPr>
      </w:pPr>
      <w:bookmarkStart w:id="9" w:name="_Toc2412"/>
      <w:bookmarkStart w:id="10" w:name="_Toc162433053"/>
      <w:bookmarkStart w:id="11" w:name="_Toc24307"/>
      <w:bookmarkStart w:id="12" w:name="_Toc24329"/>
      <w:bookmarkStart w:id="13" w:name="_Toc281411397"/>
      <w:bookmarkStart w:id="14" w:name="_Toc105057911"/>
      <w:bookmarkStart w:id="15" w:name="_Toc177553536"/>
      <w:bookmarkStart w:id="16" w:name="_Toc6071"/>
      <w:bookmarkStart w:id="17" w:name="_Toc282089804"/>
      <w:bookmarkStart w:id="18" w:name="_Toc6034"/>
      <w:bookmarkStart w:id="19" w:name="_Toc6936"/>
      <w:bookmarkStart w:id="20" w:name="_Toc100570379"/>
      <w:r>
        <w:rPr>
          <w:color w:val="auto"/>
        </w:rPr>
        <w:t>评价范围与依据</w:t>
      </w:r>
      <w:bookmarkEnd w:id="9"/>
      <w:bookmarkEnd w:id="10"/>
      <w:bookmarkEnd w:id="11"/>
      <w:bookmarkEnd w:id="12"/>
      <w:bookmarkEnd w:id="13"/>
      <w:bookmarkEnd w:id="14"/>
      <w:bookmarkEnd w:id="15"/>
      <w:bookmarkEnd w:id="16"/>
      <w:bookmarkEnd w:id="17"/>
      <w:bookmarkEnd w:id="18"/>
      <w:bookmarkEnd w:id="19"/>
      <w:bookmarkEnd w:id="20"/>
    </w:p>
    <w:p w14:paraId="72F9CAB1">
      <w:pPr>
        <w:pStyle w:val="4"/>
        <w:bidi w:val="0"/>
        <w:rPr>
          <w:rFonts w:hint="eastAsia" w:eastAsia="宋体"/>
          <w:color w:val="auto"/>
          <w:lang w:val="en-US" w:eastAsia="zh-CN"/>
        </w:rPr>
      </w:pPr>
      <w:bookmarkStart w:id="21" w:name="_Toc25468"/>
      <w:r>
        <w:rPr>
          <w:rFonts w:hint="eastAsia"/>
          <w:color w:val="auto"/>
          <w:lang w:val="en-US" w:eastAsia="zh-CN"/>
        </w:rPr>
        <w:t>评价对象与范围</w:t>
      </w:r>
      <w:bookmarkEnd w:id="21"/>
    </w:p>
    <w:p w14:paraId="4A70CF8A">
      <w:pPr>
        <w:pStyle w:val="5"/>
        <w:bidi w:val="0"/>
        <w:rPr>
          <w:color w:val="auto"/>
        </w:rPr>
      </w:pPr>
      <w:bookmarkStart w:id="22" w:name="_Hlt41205361"/>
      <w:bookmarkEnd w:id="22"/>
      <w:bookmarkStart w:id="23" w:name="_Toc27162"/>
      <w:bookmarkStart w:id="24" w:name="_Toc6769"/>
      <w:bookmarkStart w:id="25" w:name="_Toc364432265"/>
      <w:bookmarkStart w:id="26" w:name="_Toc100570381"/>
      <w:bookmarkStart w:id="27" w:name="_Toc10720"/>
      <w:bookmarkStart w:id="28" w:name="_Toc105057913"/>
      <w:bookmarkStart w:id="29" w:name="_Toc364431819"/>
      <w:bookmarkStart w:id="30" w:name="_Toc20268"/>
      <w:bookmarkStart w:id="31" w:name="_Toc45697990"/>
      <w:bookmarkStart w:id="32" w:name="_Toc45698216"/>
      <w:bookmarkStart w:id="33" w:name="_Toc116384301"/>
      <w:bookmarkStart w:id="34" w:name="_Toc45360518"/>
      <w:bookmarkStart w:id="35" w:name="_Toc45359234"/>
      <w:bookmarkStart w:id="36" w:name="_Toc45610423"/>
      <w:bookmarkStart w:id="37" w:name="_Toc105645834"/>
      <w:bookmarkStart w:id="38" w:name="_Toc45603038"/>
      <w:bookmarkStart w:id="39" w:name="_Toc45427866"/>
      <w:bookmarkStart w:id="40" w:name="_Toc46737745"/>
      <w:bookmarkStart w:id="41" w:name="_Toc127005200"/>
      <w:bookmarkStart w:id="42" w:name="_Toc45937320"/>
      <w:bookmarkStart w:id="43" w:name="_Toc46117803"/>
      <w:bookmarkStart w:id="44" w:name="_Toc45698273"/>
      <w:bookmarkStart w:id="45" w:name="_Toc45698166"/>
      <w:bookmarkStart w:id="46" w:name="_Toc45427492"/>
      <w:bookmarkStart w:id="47" w:name="_Toc41205327"/>
      <w:bookmarkStart w:id="48" w:name="_Toc137113228"/>
      <w:r>
        <w:rPr>
          <w:color w:val="auto"/>
        </w:rPr>
        <w:t>评价对象</w:t>
      </w:r>
      <w:bookmarkEnd w:id="23"/>
      <w:bookmarkEnd w:id="24"/>
      <w:bookmarkEnd w:id="25"/>
      <w:bookmarkEnd w:id="26"/>
      <w:bookmarkEnd w:id="27"/>
      <w:bookmarkEnd w:id="28"/>
      <w:bookmarkEnd w:id="29"/>
      <w:bookmarkEnd w:id="30"/>
    </w:p>
    <w:p w14:paraId="5BCE3A7A">
      <w:pPr>
        <w:rPr>
          <w:color w:val="auto"/>
        </w:rPr>
      </w:pPr>
      <w:r>
        <w:rPr>
          <w:color w:val="auto"/>
        </w:rPr>
        <w:t>根据</w:t>
      </w:r>
      <w:r>
        <w:rPr>
          <w:rFonts w:hint="eastAsia"/>
          <w:color w:val="auto"/>
          <w:lang w:eastAsia="zh-CN"/>
        </w:rPr>
        <w:t>元谋县应急管理局</w:t>
      </w:r>
      <w:r>
        <w:rPr>
          <w:color w:val="auto"/>
        </w:rPr>
        <w:t>的委托，评价对象为：</w:t>
      </w:r>
      <w:r>
        <w:rPr>
          <w:rFonts w:hint="eastAsia"/>
          <w:color w:val="auto"/>
          <w:lang w:eastAsia="zh-CN"/>
        </w:rPr>
        <w:t>元谋县大远矿业有限公司红坡铁矿选厂尾矿库</w:t>
      </w:r>
      <w:r>
        <w:rPr>
          <w:color w:val="auto"/>
        </w:rPr>
        <w:t>闭库安全设施及安全管理。</w:t>
      </w:r>
    </w:p>
    <w:p w14:paraId="1E92DBC8">
      <w:pPr>
        <w:pStyle w:val="5"/>
        <w:bidi w:val="0"/>
        <w:rPr>
          <w:color w:val="auto"/>
        </w:rPr>
      </w:pPr>
      <w:bookmarkStart w:id="49" w:name="_Toc105057914"/>
      <w:bookmarkStart w:id="50" w:name="_Toc32399"/>
      <w:bookmarkStart w:id="51" w:name="_Toc28510"/>
      <w:bookmarkStart w:id="52" w:name="_Toc6701"/>
      <w:bookmarkStart w:id="53" w:name="_Toc12512"/>
      <w:bookmarkStart w:id="54" w:name="_Toc100570382"/>
      <w:r>
        <w:rPr>
          <w:color w:val="auto"/>
        </w:rPr>
        <w:t>评价范围</w:t>
      </w:r>
      <w:bookmarkEnd w:id="49"/>
      <w:bookmarkEnd w:id="50"/>
      <w:bookmarkEnd w:id="51"/>
      <w:bookmarkEnd w:id="52"/>
      <w:bookmarkEnd w:id="53"/>
      <w:bookmarkEnd w:id="54"/>
    </w:p>
    <w:p w14:paraId="1CB57EDE">
      <w:pPr>
        <w:rPr>
          <w:color w:val="auto"/>
        </w:rPr>
      </w:pPr>
      <w:r>
        <w:rPr>
          <w:color w:val="auto"/>
        </w:rPr>
        <w:t>根据《</w:t>
      </w:r>
      <w:r>
        <w:rPr>
          <w:rFonts w:hint="eastAsia"/>
          <w:color w:val="auto"/>
          <w:lang w:eastAsia="zh-CN"/>
        </w:rPr>
        <w:t>元谋县大远矿业有限公司红坡铁矿选厂尾矿库</w:t>
      </w:r>
      <w:r>
        <w:rPr>
          <w:color w:val="auto"/>
        </w:rPr>
        <w:t>安全设施设计》的设计内容及组成，评价范围主要包括：闭库方式、</w:t>
      </w:r>
      <w:r>
        <w:rPr>
          <w:rFonts w:hint="eastAsia"/>
          <w:color w:val="auto"/>
        </w:rPr>
        <w:t>闭库后的排洪系统、</w:t>
      </w:r>
      <w:r>
        <w:rPr>
          <w:color w:val="auto"/>
        </w:rPr>
        <w:t>闭库后达到的标准及尾矿库安全管理。对可能存在的危险因素、有害因素以及危险危害程度进行评价，并针对不同的危险因素和有害因素提出相应的防范措施。</w:t>
      </w:r>
    </w:p>
    <w:p w14:paraId="6B344D26">
      <w:pPr>
        <w:rPr>
          <w:color w:val="auto"/>
        </w:rPr>
      </w:pPr>
      <w:r>
        <w:rPr>
          <w:color w:val="auto"/>
        </w:rPr>
        <w:t>涉及该项目的职业卫生、环境保护、消防等专项，不在本次评价范围之内，但报告中会</w:t>
      </w:r>
      <w:r>
        <w:rPr>
          <w:rFonts w:hint="eastAsia"/>
          <w:color w:val="auto"/>
          <w:lang w:eastAsia="zh-CN"/>
        </w:rPr>
        <w:t>涉及相关</w:t>
      </w:r>
      <w:r>
        <w:rPr>
          <w:color w:val="auto"/>
        </w:rPr>
        <w:t>内容。</w:t>
      </w:r>
    </w:p>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14:paraId="2B7A89F3">
      <w:pPr>
        <w:pStyle w:val="4"/>
        <w:bidi w:val="0"/>
        <w:rPr>
          <w:color w:val="auto"/>
        </w:rPr>
      </w:pPr>
      <w:bookmarkStart w:id="55" w:name="_Toc5075"/>
      <w:bookmarkStart w:id="56" w:name="_Toc100570386"/>
      <w:bookmarkStart w:id="57" w:name="_Toc9818"/>
      <w:bookmarkStart w:id="58" w:name="_Toc16285"/>
      <w:bookmarkStart w:id="59" w:name="_Toc162433055"/>
      <w:bookmarkStart w:id="60" w:name="_Toc282089806"/>
      <w:bookmarkStart w:id="61" w:name="_Toc105057918"/>
      <w:bookmarkStart w:id="62" w:name="_Toc18221"/>
      <w:bookmarkStart w:id="63" w:name="_Toc11546"/>
      <w:bookmarkStart w:id="64" w:name="_Toc177553538"/>
      <w:bookmarkStart w:id="65" w:name="_Toc281411399"/>
      <w:bookmarkStart w:id="66" w:name="_Toc24160"/>
      <w:r>
        <w:rPr>
          <w:color w:val="auto"/>
        </w:rPr>
        <w:t>评价依据</w:t>
      </w:r>
      <w:bookmarkEnd w:id="55"/>
      <w:bookmarkEnd w:id="56"/>
      <w:bookmarkEnd w:id="57"/>
      <w:bookmarkEnd w:id="58"/>
      <w:bookmarkEnd w:id="59"/>
      <w:bookmarkEnd w:id="60"/>
      <w:bookmarkEnd w:id="61"/>
      <w:bookmarkEnd w:id="62"/>
      <w:bookmarkEnd w:id="63"/>
      <w:bookmarkEnd w:id="64"/>
      <w:bookmarkEnd w:id="65"/>
      <w:bookmarkEnd w:id="66"/>
    </w:p>
    <w:p w14:paraId="51CFAC64">
      <w:pPr>
        <w:pStyle w:val="5"/>
        <w:bidi w:val="0"/>
        <w:rPr>
          <w:color w:val="auto"/>
        </w:rPr>
      </w:pPr>
      <w:bookmarkStart w:id="67" w:name="_Toc19619"/>
      <w:bookmarkStart w:id="68" w:name="_Toc20839"/>
      <w:r>
        <w:rPr>
          <w:color w:val="auto"/>
        </w:rPr>
        <w:t>法律法规</w:t>
      </w:r>
      <w:bookmarkEnd w:id="67"/>
      <w:bookmarkEnd w:id="68"/>
    </w:p>
    <w:p w14:paraId="09198836">
      <w:pPr>
        <w:pStyle w:val="6"/>
        <w:bidi w:val="0"/>
        <w:rPr>
          <w:color w:val="auto"/>
        </w:rPr>
      </w:pPr>
      <w:bookmarkStart w:id="69" w:name="_Toc303324187"/>
      <w:bookmarkStart w:id="70" w:name="_Toc239567393"/>
      <w:bookmarkStart w:id="71" w:name="_Toc317771502"/>
      <w:bookmarkStart w:id="72" w:name="_Toc303323937"/>
      <w:bookmarkStart w:id="73" w:name="_Toc239567248"/>
      <w:bookmarkStart w:id="74" w:name="_Toc17053"/>
      <w:bookmarkStart w:id="75" w:name="_Toc105057919"/>
      <w:bookmarkStart w:id="76" w:name="_Toc26174"/>
      <w:bookmarkStart w:id="77" w:name="_Toc26948"/>
      <w:bookmarkStart w:id="78" w:name="_Toc100570387"/>
      <w:bookmarkStart w:id="79" w:name="_Toc367777392"/>
      <w:bookmarkStart w:id="80" w:name="_Toc16369"/>
      <w:bookmarkStart w:id="81" w:name="_Toc475805460"/>
      <w:bookmarkStart w:id="82" w:name="_Toc317166307"/>
      <w:bookmarkStart w:id="83" w:name="_Toc242501610"/>
      <w:r>
        <w:rPr>
          <w:color w:val="auto"/>
        </w:rPr>
        <w:t>国家法律</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201A6D1B">
      <w:pPr>
        <w:rPr>
          <w:color w:val="auto"/>
        </w:rPr>
      </w:pPr>
      <w:r>
        <w:rPr>
          <w:color w:val="auto"/>
        </w:rPr>
        <w:t>1.《中华人民共和国安全生产法》（</w:t>
      </w:r>
      <w:r>
        <w:rPr>
          <w:rFonts w:hint="eastAsia"/>
          <w:color w:val="auto"/>
        </w:rPr>
        <w:t>中华人民共和国主席令第88号，</w:t>
      </w:r>
      <w:r>
        <w:rPr>
          <w:color w:val="auto"/>
        </w:rPr>
        <w:t>于2021年6月10日第十三届全国人民代表大会常务委员会第二十九次会议通过全国人民代表大会常务委员会修订，于2021年9月1日起施行）；</w:t>
      </w:r>
    </w:p>
    <w:p w14:paraId="7FEDB3AC">
      <w:pPr>
        <w:rPr>
          <w:color w:val="auto"/>
        </w:rPr>
      </w:pPr>
      <w:r>
        <w:rPr>
          <w:color w:val="auto"/>
        </w:rPr>
        <w:t>2.《中华人民共和国劳动法》（中华人民共和国第28号主席令，1995年1月1日施行，2009年8月27日第十一届全国人民代表大会常务委员会第十次会议通过《全国人民代表大会常务委员会关于修改部分法律的决定》，自2009年8月27日起施行）；</w:t>
      </w:r>
    </w:p>
    <w:p w14:paraId="75807638">
      <w:pPr>
        <w:rPr>
          <w:color w:val="auto"/>
        </w:rPr>
      </w:pPr>
      <w:r>
        <w:rPr>
          <w:color w:val="auto"/>
        </w:rPr>
        <w:t>3.《中华人民共和国劳动合同法》（中华人民共和国第七十三号主席令，2013年7月1日施行）；</w:t>
      </w:r>
    </w:p>
    <w:p w14:paraId="34791190">
      <w:pPr>
        <w:rPr>
          <w:rFonts w:hint="default" w:eastAsia="宋体"/>
          <w:color w:val="auto"/>
          <w:lang w:val="en-US" w:eastAsia="zh-CN"/>
        </w:rPr>
      </w:pPr>
      <w:r>
        <w:rPr>
          <w:rFonts w:hint="eastAsia"/>
          <w:color w:val="auto"/>
          <w:lang w:val="en-US" w:eastAsia="zh-CN"/>
        </w:rPr>
        <w:t>4.《中华人民共和国民法典》（中华人民共和国第四十五号主席令，2021年1月1日实施）；</w:t>
      </w:r>
    </w:p>
    <w:p w14:paraId="3D5E75CF">
      <w:pPr>
        <w:rPr>
          <w:color w:val="auto"/>
        </w:rPr>
      </w:pPr>
      <w:r>
        <w:rPr>
          <w:rFonts w:hint="eastAsia"/>
          <w:color w:val="auto"/>
          <w:lang w:val="en-US" w:eastAsia="zh-CN"/>
        </w:rPr>
        <w:t>5</w:t>
      </w:r>
      <w:r>
        <w:rPr>
          <w:color w:val="auto"/>
        </w:rPr>
        <w:t>.《中华人民共和国职业病防治法》中华人民共和国主席令第52号，2002年5月1日施行，根据2011年12月31日第十一届全国人民代表大会常务委员会第二十四次会议《关于修改〈中华人民共和国职业病防治法〉的决定》第一次修正；根据2018年12月29日第十三届全国人民代表大会常务委员会第七次会议《关于修改等七部法律的决定》第四次修正；</w:t>
      </w:r>
    </w:p>
    <w:p w14:paraId="2280863F">
      <w:pPr>
        <w:rPr>
          <w:color w:val="auto"/>
        </w:rPr>
      </w:pPr>
      <w:r>
        <w:rPr>
          <w:rFonts w:hint="eastAsia"/>
          <w:color w:val="auto"/>
          <w:lang w:val="en-US" w:eastAsia="zh-CN"/>
        </w:rPr>
        <w:t>6</w:t>
      </w:r>
      <w:r>
        <w:rPr>
          <w:color w:val="auto"/>
        </w:rPr>
        <w:t>.《中华人民共和国矿山安全法》（中华人民共和国第65号主席令，1993年5月1日施行）；</w:t>
      </w:r>
    </w:p>
    <w:p w14:paraId="3994271D">
      <w:pPr>
        <w:rPr>
          <w:color w:val="auto"/>
        </w:rPr>
      </w:pPr>
      <w:r>
        <w:rPr>
          <w:rFonts w:hint="eastAsia"/>
          <w:color w:val="auto"/>
          <w:lang w:val="en-US" w:eastAsia="zh-CN"/>
        </w:rPr>
        <w:t>7</w:t>
      </w:r>
      <w:r>
        <w:rPr>
          <w:color w:val="auto"/>
        </w:rPr>
        <w:t>.《中华人民共和国防洪法》（中华人民共和国主席令第88号，根据2015年4月24日第十二届全国人民代表大会常务委员会第十四次会议《全国人民代表大会常务委员会关于修改&lt;中华人民共和国港口法</w:t>
      </w:r>
      <w:r>
        <w:rPr>
          <w:rFonts w:hint="eastAsia"/>
          <w:color w:val="auto"/>
          <w:lang w:eastAsia="zh-CN"/>
        </w:rPr>
        <w:t>〉</w:t>
      </w:r>
      <w:r>
        <w:rPr>
          <w:color w:val="auto"/>
        </w:rPr>
        <w:t>等七部法律的决定》第二次修正，2015年04月24日起施行）；</w:t>
      </w:r>
    </w:p>
    <w:p w14:paraId="4638C7F6">
      <w:pPr>
        <w:rPr>
          <w:color w:val="auto"/>
        </w:rPr>
      </w:pPr>
      <w:r>
        <w:rPr>
          <w:rFonts w:hint="eastAsia"/>
          <w:color w:val="auto"/>
          <w:lang w:val="en-US" w:eastAsia="zh-CN"/>
        </w:rPr>
        <w:t>8</w:t>
      </w:r>
      <w:r>
        <w:rPr>
          <w:color w:val="auto"/>
        </w:rPr>
        <w:t>.《中华人民共和国环境保护法》</w:t>
      </w:r>
      <w:r>
        <w:rPr>
          <w:rFonts w:hint="eastAsia"/>
          <w:color w:val="auto"/>
        </w:rPr>
        <w:t>（</w:t>
      </w:r>
      <w:r>
        <w:rPr>
          <w:color w:val="auto"/>
        </w:rPr>
        <w:t>中华人民共和国第9号主席令，2015年1月1日起实施）</w:t>
      </w:r>
      <w:r>
        <w:rPr>
          <w:rFonts w:hint="eastAsia"/>
          <w:color w:val="auto"/>
        </w:rPr>
        <w:t>。</w:t>
      </w:r>
    </w:p>
    <w:p w14:paraId="2EEBEF02">
      <w:pPr>
        <w:pStyle w:val="6"/>
        <w:bidi w:val="0"/>
        <w:rPr>
          <w:color w:val="auto"/>
        </w:rPr>
      </w:pPr>
      <w:bookmarkStart w:id="84" w:name="_Toc100570388"/>
      <w:bookmarkStart w:id="85" w:name="_Toc105057920"/>
      <w:bookmarkStart w:id="86" w:name="_Toc5245"/>
      <w:bookmarkStart w:id="87" w:name="_Toc29488"/>
      <w:r>
        <w:rPr>
          <w:color w:val="auto"/>
        </w:rPr>
        <w:t>行政法规</w:t>
      </w:r>
      <w:bookmarkEnd w:id="84"/>
      <w:bookmarkEnd w:id="85"/>
      <w:bookmarkEnd w:id="86"/>
      <w:bookmarkEnd w:id="87"/>
    </w:p>
    <w:p w14:paraId="2644EB97">
      <w:pPr>
        <w:pStyle w:val="108"/>
        <w:ind w:firstLine="560" w:firstLineChars="200"/>
        <w:rPr>
          <w:color w:val="auto"/>
        </w:rPr>
      </w:pPr>
      <w:r>
        <w:rPr>
          <w:color w:val="auto"/>
        </w:rPr>
        <w:t>《中华人民共和国矿山安全法实施条例》（中华人民共和国劳动部令[1996]4号）；</w:t>
      </w:r>
    </w:p>
    <w:p w14:paraId="7D8E87C1">
      <w:pPr>
        <w:pStyle w:val="108"/>
        <w:ind w:firstLine="560" w:firstLineChars="200"/>
        <w:rPr>
          <w:color w:val="auto"/>
        </w:rPr>
      </w:pPr>
      <w:r>
        <w:rPr>
          <w:color w:val="auto"/>
        </w:rPr>
        <w:t>《中华人民共和国地质灾害防治条例》（中华人民共和国国务院令[2004]第394号，自2004年3月1日起施行）；</w:t>
      </w:r>
    </w:p>
    <w:p w14:paraId="29094BC9">
      <w:pPr>
        <w:pStyle w:val="108"/>
        <w:ind w:firstLine="560" w:firstLineChars="200"/>
        <w:rPr>
          <w:color w:val="auto"/>
        </w:rPr>
      </w:pPr>
      <w:r>
        <w:rPr>
          <w:color w:val="auto"/>
        </w:rPr>
        <w:t>《中华人民共和国劳动合同法实施条例》（中华人民共和国国务院令[2008]第535号，自2008年9月18日起施行）；</w:t>
      </w:r>
    </w:p>
    <w:p w14:paraId="281AEC9A">
      <w:pPr>
        <w:pStyle w:val="108"/>
        <w:ind w:firstLine="560" w:firstLineChars="200"/>
        <w:rPr>
          <w:color w:val="auto"/>
        </w:rPr>
      </w:pPr>
      <w:r>
        <w:rPr>
          <w:color w:val="auto"/>
        </w:rPr>
        <w:t>《工伤保险条例》（中华人民共和国国务院令国务院令第586号，2011年01月01日起施行）；</w:t>
      </w:r>
    </w:p>
    <w:p w14:paraId="2DD74FEB">
      <w:pPr>
        <w:pStyle w:val="108"/>
        <w:ind w:firstLine="560" w:firstLineChars="200"/>
        <w:rPr>
          <w:color w:val="auto"/>
        </w:rPr>
      </w:pPr>
      <w:r>
        <w:rPr>
          <w:color w:val="auto"/>
        </w:rPr>
        <w:t>《安全生产许可证条例》（国务院令397号，2004年01月13日起施行，根据2013年5月31日国务院第10次常务会议《国务院关于废止和修改部分行政法规的决定》第一次修订，根据2014年7月9日国务院第54次常务会议《国务院关于修改部分行政法规的决定》第二次修订，2015年03月25日起施行）；</w:t>
      </w:r>
    </w:p>
    <w:p w14:paraId="616D2E41">
      <w:pPr>
        <w:pStyle w:val="108"/>
        <w:ind w:firstLine="560" w:firstLineChars="200"/>
        <w:rPr>
          <w:color w:val="auto"/>
        </w:rPr>
      </w:pPr>
      <w:r>
        <w:rPr>
          <w:color w:val="auto"/>
        </w:rPr>
        <w:t>《生产安全事故应急条例》（中华人民共和国国务院令[2019]第708号，自2019年4月1日起施行）。</w:t>
      </w:r>
    </w:p>
    <w:p w14:paraId="34042363">
      <w:pPr>
        <w:pStyle w:val="6"/>
        <w:bidi w:val="0"/>
        <w:rPr>
          <w:color w:val="auto"/>
        </w:rPr>
      </w:pPr>
      <w:bookmarkStart w:id="88" w:name="_Toc100570389"/>
      <w:bookmarkStart w:id="89" w:name="_Toc15312"/>
      <w:bookmarkStart w:id="90" w:name="_Toc25500"/>
      <w:bookmarkStart w:id="91" w:name="_Toc105057921"/>
      <w:r>
        <w:rPr>
          <w:color w:val="auto"/>
        </w:rPr>
        <w:t>部门规章</w:t>
      </w:r>
      <w:bookmarkEnd w:id="88"/>
      <w:bookmarkEnd w:id="89"/>
      <w:bookmarkEnd w:id="90"/>
      <w:bookmarkEnd w:id="91"/>
    </w:p>
    <w:p w14:paraId="31840CB5">
      <w:pPr>
        <w:rPr>
          <w:color w:val="auto"/>
        </w:rPr>
      </w:pPr>
      <w:r>
        <w:rPr>
          <w:color w:val="auto"/>
        </w:rPr>
        <w:t>1.《国家安全监管总局国家发展改革委工业和信息化部国土资源部环境保护部关于进一步加强尾矿库监督管理工作的指导意见》（安监总管[2012]32号）；</w:t>
      </w:r>
    </w:p>
    <w:p w14:paraId="73FA5724">
      <w:pPr>
        <w:rPr>
          <w:color w:val="auto"/>
        </w:rPr>
      </w:pPr>
      <w:r>
        <w:rPr>
          <w:color w:val="auto"/>
        </w:rPr>
        <w:t>2.《安全生产培训管理办法》（国家安全生产监督管理总局令第44号和国家安全生产监督管理总局令第80号，根据2015年2月26日国家安全生产监督管理总局局长办公会议审议通过修改，自2015年07月01日施行）；</w:t>
      </w:r>
    </w:p>
    <w:p w14:paraId="69AB5212">
      <w:pPr>
        <w:rPr>
          <w:color w:val="auto"/>
        </w:rPr>
      </w:pPr>
      <w:r>
        <w:rPr>
          <w:color w:val="auto"/>
        </w:rPr>
        <w:t>3.《非煤矿山企业安全生产许可证实施办法》（国家安全生产监督管理局局长令20号和国家安全生产监督管理总局令第78号，《国家安全监管总局关于废止和修改非煤矿山领域九部规章的决定》，2015年03月23日国家安全生产监督管理总局办公会议审议通过，自2015年07月01日施行）；</w:t>
      </w:r>
    </w:p>
    <w:p w14:paraId="46E58DC1">
      <w:pPr>
        <w:rPr>
          <w:color w:val="auto"/>
        </w:rPr>
      </w:pPr>
      <w:r>
        <w:rPr>
          <w:color w:val="auto"/>
        </w:rPr>
        <w:t>4.《尾矿库安全监督管理规定》（国家安全生产监督管理局局长令38号和国家安全生产监督管理总局令第78号，根据2015年2月26日国家安全生产监督管理总局局长办公会议审议通过修改，自2015年07月01日施行）；</w:t>
      </w:r>
    </w:p>
    <w:p w14:paraId="4F30FC47">
      <w:pPr>
        <w:rPr>
          <w:color w:val="auto"/>
        </w:rPr>
      </w:pPr>
      <w:r>
        <w:rPr>
          <w:color w:val="auto"/>
        </w:rPr>
        <w:t>5.《特种作业人员安全技术培训考核管理规定》（国家安全生产监督管理总局令第30号和国家安全生产监督管理总局令第80号，根据2015年2月26日国家安全生产监督管理总局局长办公会议审议通过修改，自2015年07月01日施行）；</w:t>
      </w:r>
    </w:p>
    <w:p w14:paraId="18B9A472">
      <w:pPr>
        <w:rPr>
          <w:color w:val="auto"/>
        </w:rPr>
      </w:pPr>
      <w:r>
        <w:rPr>
          <w:color w:val="auto"/>
        </w:rPr>
        <w:t>6.</w:t>
      </w:r>
      <w:r>
        <w:rPr>
          <w:rFonts w:hint="eastAsia"/>
          <w:color w:val="auto"/>
          <w:lang w:eastAsia="zh-CN"/>
        </w:rPr>
        <w:t>《关于印发&lt;企业安全生产费用提取和使用管理办法〉的通知》（财资〔2022〕136号，2022年12月12日）</w:t>
      </w:r>
      <w:r>
        <w:rPr>
          <w:color w:val="auto"/>
        </w:rPr>
        <w:t>；</w:t>
      </w:r>
    </w:p>
    <w:p w14:paraId="77F8F247">
      <w:pPr>
        <w:rPr>
          <w:color w:val="auto"/>
        </w:rPr>
      </w:pPr>
      <w:r>
        <w:rPr>
          <w:color w:val="auto"/>
        </w:rPr>
        <w:t>7.《工作场所职业卫生监督管理规定》（国家安监总局47号令，2012年6月1日起施行）；</w:t>
      </w:r>
    </w:p>
    <w:p w14:paraId="7FDE4BD3">
      <w:pPr>
        <w:rPr>
          <w:color w:val="auto"/>
        </w:rPr>
      </w:pPr>
      <w:r>
        <w:rPr>
          <w:color w:val="auto"/>
        </w:rPr>
        <w:t>8.《生产安全事故应急预案管理办法》（中华人民共和国应急管理部令第2号）；2019年6月24日，《应急管理部关于修改〈生产安全事故应急预案管理办法〉的决定》经应急管理部第20次部务会议审议通过，于2019年7月11日公布，自2019年9月1日起施行。</w:t>
      </w:r>
    </w:p>
    <w:p w14:paraId="3B2F4D9E">
      <w:pPr>
        <w:rPr>
          <w:color w:val="auto"/>
        </w:rPr>
      </w:pPr>
      <w:r>
        <w:rPr>
          <w:color w:val="auto"/>
        </w:rPr>
        <w:t>9.《金属非金属矿山建设项目安全设施目录（试行）》（国家安全生产监督管理总局令第75号，2015年7月1日起施行）；</w:t>
      </w:r>
    </w:p>
    <w:p w14:paraId="6307C6B3">
      <w:pPr>
        <w:rPr>
          <w:color w:val="auto"/>
        </w:rPr>
      </w:pPr>
      <w:r>
        <w:rPr>
          <w:color w:val="auto"/>
        </w:rPr>
        <w:t>10.《生产经营单位安全培训规定》（国家安监总局令第63号和国家安全生产监督管理总局令第80号，根据2015年2月26日国家安全生产监督管理总局局长办公会议审议通过修改，自2015年07月01日施行）；</w:t>
      </w:r>
    </w:p>
    <w:p w14:paraId="2112ED88">
      <w:pPr>
        <w:pStyle w:val="56"/>
        <w:ind w:firstLine="560" w:firstLineChars="200"/>
        <w:rPr>
          <w:color w:val="auto"/>
        </w:rPr>
      </w:pPr>
      <w:r>
        <w:rPr>
          <w:color w:val="auto"/>
        </w:rPr>
        <w:t>11.《关</w:t>
      </w:r>
      <w:r>
        <w:rPr>
          <w:rFonts w:hint="eastAsia"/>
          <w:color w:val="auto"/>
          <w:lang w:val="en-US" w:eastAsia="zh-CN"/>
        </w:rPr>
        <w:t>于</w:t>
      </w:r>
      <w:r>
        <w:rPr>
          <w:color w:val="auto"/>
        </w:rPr>
        <w:t>加强非煤矿山安全生产工作的指导意见》（矿安〔2022〕4号）；</w:t>
      </w:r>
    </w:p>
    <w:p w14:paraId="0EAE9364">
      <w:pPr>
        <w:rPr>
          <w:color w:val="auto"/>
        </w:rPr>
      </w:pPr>
      <w:r>
        <w:rPr>
          <w:color w:val="auto"/>
        </w:rPr>
        <w:t>12.《国家矿山安全监察局印发&lt;关于进一步强化安全生产责任落实坚决防范遏制矿山重特大事故的若干措施</w:t>
      </w:r>
      <w:r>
        <w:rPr>
          <w:rFonts w:hint="eastAsia"/>
          <w:color w:val="auto"/>
          <w:lang w:eastAsia="zh-CN"/>
        </w:rPr>
        <w:t>〉</w:t>
      </w:r>
      <w:r>
        <w:rPr>
          <w:color w:val="auto"/>
        </w:rPr>
        <w:t>的通知》（矿安〔2022〕70号）。</w:t>
      </w:r>
    </w:p>
    <w:p w14:paraId="75954BE2">
      <w:pPr>
        <w:rPr>
          <w:rFonts w:hint="eastAsia" w:eastAsia="宋体"/>
          <w:color w:val="auto"/>
          <w:lang w:val="en-US" w:eastAsia="zh-CN"/>
        </w:rPr>
      </w:pPr>
      <w:r>
        <w:rPr>
          <w:rFonts w:hint="eastAsia"/>
          <w:color w:val="auto"/>
          <w:lang w:val="en-US" w:eastAsia="zh-CN"/>
        </w:rPr>
        <w:t>13.</w:t>
      </w:r>
      <w:r>
        <w:rPr>
          <w:rFonts w:hint="default"/>
          <w:color w:val="auto"/>
          <w:lang w:val="en-US" w:eastAsia="zh-CN"/>
        </w:rPr>
        <w:t>国家安全监管总局关于印发金属非金属矿山建设项目安全评价报告编写提纲的通知安监总管一〔2016〕49号</w:t>
      </w:r>
      <w:r>
        <w:rPr>
          <w:rFonts w:hint="eastAsia"/>
          <w:color w:val="auto"/>
          <w:lang w:val="en-US" w:eastAsia="zh-CN"/>
        </w:rPr>
        <w:t>；</w:t>
      </w:r>
    </w:p>
    <w:p w14:paraId="5D6FB04A">
      <w:pPr>
        <w:rPr>
          <w:rFonts w:hint="eastAsia" w:eastAsia="宋体"/>
          <w:color w:val="auto"/>
          <w:lang w:eastAsia="zh-CN"/>
        </w:rPr>
      </w:pPr>
      <w:r>
        <w:rPr>
          <w:rFonts w:hint="eastAsia"/>
          <w:color w:val="auto"/>
          <w:lang w:val="en-US" w:eastAsia="zh-CN"/>
        </w:rPr>
        <w:t>14.《</w:t>
      </w:r>
      <w:r>
        <w:rPr>
          <w:rFonts w:hint="eastAsia"/>
          <w:color w:val="auto"/>
        </w:rPr>
        <w:t>建设项目安全设施“三同时”监督管理办法》（国家安全监管总局令第</w:t>
      </w:r>
      <w:r>
        <w:rPr>
          <w:color w:val="auto"/>
          <w:lang w:val="en-US"/>
        </w:rPr>
        <w:t>36</w:t>
      </w:r>
      <w:r>
        <w:rPr>
          <w:rFonts w:hint="eastAsia"/>
          <w:color w:val="auto"/>
        </w:rPr>
        <w:t>号）</w:t>
      </w:r>
      <w:r>
        <w:rPr>
          <w:rFonts w:hint="eastAsia"/>
          <w:color w:val="auto"/>
          <w:lang w:eastAsia="zh-CN"/>
        </w:rPr>
        <w:t>；</w:t>
      </w:r>
    </w:p>
    <w:p w14:paraId="64CCF1F7">
      <w:pPr>
        <w:rPr>
          <w:rFonts w:hint="eastAsia"/>
          <w:color w:val="auto"/>
          <w:lang w:val="en-US" w:eastAsia="zh-CN"/>
        </w:rPr>
      </w:pPr>
      <w:r>
        <w:rPr>
          <w:rFonts w:hint="eastAsia"/>
          <w:color w:val="auto"/>
          <w:lang w:val="en-US" w:eastAsia="zh-CN"/>
        </w:rPr>
        <w:t>15.《生产安全事故罚款处罚规定》（中华人民共和国应急管理部令</w:t>
      </w:r>
    </w:p>
    <w:p w14:paraId="0E2EEA94">
      <w:pPr>
        <w:rPr>
          <w:rFonts w:hint="eastAsia" w:eastAsia="宋体"/>
          <w:color w:val="auto"/>
          <w:lang w:eastAsia="zh-CN"/>
        </w:rPr>
      </w:pPr>
      <w:r>
        <w:rPr>
          <w:rFonts w:hint="eastAsia"/>
          <w:color w:val="auto"/>
          <w:lang w:val="en-US" w:eastAsia="zh-CN"/>
        </w:rPr>
        <w:t>第14号，2024年3月1日起施行）</w:t>
      </w:r>
      <w:r>
        <w:rPr>
          <w:rFonts w:hint="eastAsia"/>
          <w:color w:val="auto"/>
          <w:lang w:eastAsia="zh-CN"/>
        </w:rPr>
        <w:t>。</w:t>
      </w:r>
    </w:p>
    <w:p w14:paraId="7DD4372E">
      <w:pPr>
        <w:pStyle w:val="6"/>
        <w:bidi w:val="0"/>
        <w:rPr>
          <w:color w:val="auto"/>
        </w:rPr>
      </w:pPr>
      <w:bookmarkStart w:id="92" w:name="_Toc105057922"/>
      <w:bookmarkStart w:id="93" w:name="_Toc13340"/>
      <w:bookmarkStart w:id="94" w:name="_Toc24406"/>
      <w:bookmarkStart w:id="95" w:name="_Toc100570390"/>
      <w:r>
        <w:rPr>
          <w:color w:val="auto"/>
        </w:rPr>
        <w:t>地方法规</w:t>
      </w:r>
      <w:bookmarkEnd w:id="92"/>
      <w:bookmarkEnd w:id="93"/>
      <w:bookmarkEnd w:id="94"/>
      <w:bookmarkEnd w:id="95"/>
    </w:p>
    <w:p w14:paraId="3C354D36">
      <w:pPr>
        <w:rPr>
          <w:color w:val="auto"/>
        </w:rPr>
      </w:pPr>
      <w:r>
        <w:rPr>
          <w:color w:val="auto"/>
        </w:rPr>
        <w:t>1.《云南省安全生产条例》（2007年11月29日云南省人民代表大会常务委员会公告第66号公布，自2008年1月1日起施行）；</w:t>
      </w:r>
    </w:p>
    <w:p w14:paraId="025F9442">
      <w:pPr>
        <w:rPr>
          <w:rFonts w:hint="eastAsia" w:eastAsiaTheme="minorEastAsia"/>
          <w:color w:val="auto"/>
          <w:lang w:eastAsia="zh-CN"/>
        </w:rPr>
      </w:pPr>
      <w:r>
        <w:rPr>
          <w:color w:val="auto"/>
        </w:rPr>
        <w:t>2.《关于印发&lt;云南省尾矿库闭库销号管理办法</w:t>
      </w:r>
      <w:r>
        <w:rPr>
          <w:rFonts w:hint="eastAsia"/>
          <w:color w:val="auto"/>
        </w:rPr>
        <w:t>（</w:t>
      </w:r>
      <w:r>
        <w:rPr>
          <w:color w:val="auto"/>
        </w:rPr>
        <w:t>试行</w:t>
      </w:r>
      <w:r>
        <w:rPr>
          <w:rFonts w:hint="eastAsia"/>
          <w:color w:val="auto"/>
        </w:rPr>
        <w:t>）</w:t>
      </w:r>
      <w:r>
        <w:rPr>
          <w:rFonts w:hint="eastAsia"/>
          <w:color w:val="auto"/>
          <w:lang w:eastAsia="zh-CN"/>
        </w:rPr>
        <w:t>〉</w:t>
      </w:r>
      <w:r>
        <w:rPr>
          <w:color w:val="auto"/>
        </w:rPr>
        <w:t>的通知》</w:t>
      </w:r>
      <w:r>
        <w:rPr>
          <w:rFonts w:hint="eastAsia" w:eastAsiaTheme="minorEastAsia"/>
          <w:color w:val="auto"/>
        </w:rPr>
        <w:t>（</w:t>
      </w:r>
      <w:r>
        <w:rPr>
          <w:rFonts w:eastAsiaTheme="minorEastAsia"/>
          <w:color w:val="auto"/>
        </w:rPr>
        <w:t>云应急〔2021〕20号</w:t>
      </w:r>
      <w:r>
        <w:rPr>
          <w:rFonts w:hint="eastAsia" w:eastAsiaTheme="minorEastAsia"/>
          <w:color w:val="auto"/>
        </w:rPr>
        <w:t>）</w:t>
      </w:r>
      <w:r>
        <w:rPr>
          <w:rFonts w:hint="eastAsia" w:eastAsiaTheme="minorEastAsia"/>
          <w:color w:val="auto"/>
          <w:lang w:eastAsia="zh-CN"/>
        </w:rPr>
        <w:t>；</w:t>
      </w:r>
    </w:p>
    <w:p w14:paraId="0A3AFA3C">
      <w:pPr>
        <w:rPr>
          <w:rFonts w:hint="eastAsia" w:eastAsiaTheme="minorEastAsia"/>
          <w:color w:val="auto"/>
          <w:lang w:val="en-US" w:eastAsia="zh-CN"/>
        </w:rPr>
      </w:pPr>
      <w:r>
        <w:rPr>
          <w:rFonts w:hint="eastAsia" w:eastAsiaTheme="minorEastAsia"/>
          <w:color w:val="auto"/>
          <w:lang w:val="en-US" w:eastAsia="zh-CN"/>
        </w:rPr>
        <w:t>3.《云南省人民政府关于印发云南省生产经营单位 安全生产主体责任规定的通知》（云政规【2022】4号）；</w:t>
      </w:r>
    </w:p>
    <w:p w14:paraId="4E8F647D">
      <w:pPr>
        <w:rPr>
          <w:rFonts w:eastAsiaTheme="minorEastAsia"/>
          <w:color w:val="auto"/>
        </w:rPr>
      </w:pPr>
      <w:r>
        <w:rPr>
          <w:rFonts w:hint="eastAsia" w:eastAsiaTheme="minorEastAsia"/>
          <w:color w:val="auto"/>
          <w:lang w:val="en-US" w:eastAsia="zh-CN"/>
        </w:rPr>
        <w:t>4.《云南省生产安全事故应急办法》（省政府令第227号，自2024年2月1日起施行）</w:t>
      </w:r>
      <w:r>
        <w:rPr>
          <w:rFonts w:eastAsiaTheme="minorEastAsia"/>
          <w:color w:val="auto"/>
        </w:rPr>
        <w:t>。</w:t>
      </w:r>
    </w:p>
    <w:p w14:paraId="71CB0671">
      <w:pPr>
        <w:pStyle w:val="5"/>
        <w:bidi w:val="0"/>
        <w:rPr>
          <w:color w:val="auto"/>
        </w:rPr>
      </w:pPr>
      <w:bookmarkStart w:id="96" w:name="_Toc317166308"/>
      <w:bookmarkStart w:id="97" w:name="_Toc303323938"/>
      <w:bookmarkStart w:id="98" w:name="_Toc243389944"/>
      <w:bookmarkStart w:id="99" w:name="_Toc239567249"/>
      <w:bookmarkStart w:id="100" w:name="_Toc317771503"/>
      <w:bookmarkStart w:id="101" w:name="_Toc21358"/>
      <w:bookmarkStart w:id="102" w:name="_Toc367777393"/>
      <w:bookmarkStart w:id="103" w:name="_Toc5143"/>
      <w:bookmarkStart w:id="104" w:name="_Toc105057923"/>
      <w:bookmarkStart w:id="105" w:name="_Toc475805461"/>
      <w:bookmarkStart w:id="106" w:name="_Toc239567394"/>
      <w:bookmarkStart w:id="107" w:name="_Toc5952"/>
      <w:bookmarkStart w:id="108" w:name="_Toc26297"/>
      <w:bookmarkStart w:id="109" w:name="_Toc100570391"/>
      <w:bookmarkStart w:id="110" w:name="_Toc243390041"/>
      <w:bookmarkStart w:id="111" w:name="_Toc303324188"/>
      <w:bookmarkStart w:id="112" w:name="_Toc6587"/>
      <w:bookmarkStart w:id="113" w:name="_Toc27768"/>
      <w:r>
        <w:rPr>
          <w:color w:val="auto"/>
        </w:rPr>
        <w:t>标准</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rPr>
          <w:color w:val="auto"/>
        </w:rPr>
        <w:t>规范</w:t>
      </w:r>
      <w:bookmarkEnd w:id="112"/>
      <w:bookmarkEnd w:id="113"/>
    </w:p>
    <w:p w14:paraId="28DFA936">
      <w:pPr>
        <w:bidi w:val="0"/>
        <w:rPr>
          <w:color w:val="auto"/>
        </w:rPr>
      </w:pPr>
      <w:r>
        <w:rPr>
          <w:color w:val="auto"/>
        </w:rPr>
        <w:t>1.《企业职工伤亡事故分类》（GB6441-1986）；</w:t>
      </w:r>
    </w:p>
    <w:p w14:paraId="1ED0E884">
      <w:pPr>
        <w:bidi w:val="0"/>
        <w:rPr>
          <w:color w:val="auto"/>
        </w:rPr>
      </w:pPr>
      <w:r>
        <w:rPr>
          <w:color w:val="auto"/>
        </w:rPr>
        <w:t>2.《安全评价通则》（AQ8001-2007）；</w:t>
      </w:r>
    </w:p>
    <w:p w14:paraId="598D2362">
      <w:pPr>
        <w:bidi w:val="0"/>
        <w:rPr>
          <w:rFonts w:hint="default"/>
          <w:color w:val="auto"/>
          <w:lang w:val="en-US" w:eastAsia="zh-CN"/>
        </w:rPr>
      </w:pPr>
      <w:r>
        <w:rPr>
          <w:rFonts w:hint="eastAsia"/>
          <w:color w:val="auto"/>
          <w:lang w:val="en-US" w:eastAsia="zh-CN"/>
        </w:rPr>
        <w:t>3.《安全验收评价通则》（AQ8003-2007）；</w:t>
      </w:r>
    </w:p>
    <w:p w14:paraId="30AA9A9B">
      <w:pPr>
        <w:bidi w:val="0"/>
        <w:rPr>
          <w:color w:val="auto"/>
        </w:rPr>
      </w:pPr>
      <w:r>
        <w:rPr>
          <w:rFonts w:hint="eastAsia"/>
          <w:color w:val="auto"/>
          <w:lang w:val="en-US" w:eastAsia="zh-CN"/>
        </w:rPr>
        <w:t>4</w:t>
      </w:r>
      <w:r>
        <w:rPr>
          <w:color w:val="auto"/>
        </w:rPr>
        <w:t>.</w:t>
      </w:r>
      <w:r>
        <w:rPr>
          <w:color w:val="auto"/>
          <w:lang w:val="sq-AL"/>
        </w:rPr>
        <w:t>《尾矿库安全规程》（GB39496-2020）</w:t>
      </w:r>
      <w:r>
        <w:rPr>
          <w:color w:val="auto"/>
        </w:rPr>
        <w:t>；</w:t>
      </w:r>
    </w:p>
    <w:p w14:paraId="600D6A47">
      <w:pPr>
        <w:bidi w:val="0"/>
        <w:rPr>
          <w:color w:val="auto"/>
        </w:rPr>
      </w:pPr>
      <w:r>
        <w:rPr>
          <w:rFonts w:hint="eastAsia"/>
          <w:color w:val="auto"/>
          <w:lang w:val="en-US" w:eastAsia="zh-CN"/>
        </w:rPr>
        <w:t>5</w:t>
      </w:r>
      <w:r>
        <w:rPr>
          <w:color w:val="auto"/>
        </w:rPr>
        <w:t>.《尾矿库安全监测技术规范》</w:t>
      </w:r>
      <w:r>
        <w:rPr>
          <w:rFonts w:hint="eastAsia"/>
          <w:color w:val="auto"/>
        </w:rPr>
        <w:t>（</w:t>
      </w:r>
      <w:r>
        <w:rPr>
          <w:color w:val="auto"/>
        </w:rPr>
        <w:t>AQ2030-2010</w:t>
      </w:r>
      <w:r>
        <w:rPr>
          <w:rFonts w:hint="eastAsia"/>
          <w:color w:val="auto"/>
        </w:rPr>
        <w:t>）</w:t>
      </w:r>
      <w:r>
        <w:rPr>
          <w:color w:val="auto"/>
        </w:rPr>
        <w:t>；</w:t>
      </w:r>
    </w:p>
    <w:p w14:paraId="6BFF8D2B">
      <w:pPr>
        <w:bidi w:val="0"/>
        <w:rPr>
          <w:color w:val="auto"/>
        </w:rPr>
      </w:pPr>
      <w:r>
        <w:rPr>
          <w:rFonts w:hint="eastAsia"/>
          <w:color w:val="auto"/>
          <w:lang w:val="en-US" w:eastAsia="zh-CN"/>
        </w:rPr>
        <w:t>6</w:t>
      </w:r>
      <w:r>
        <w:rPr>
          <w:color w:val="auto"/>
        </w:rPr>
        <w:t>.《尾矿设施设计规范》（GB50863-2013）；</w:t>
      </w:r>
    </w:p>
    <w:p w14:paraId="5A63D8D1">
      <w:pPr>
        <w:bidi w:val="0"/>
        <w:rPr>
          <w:color w:val="auto"/>
        </w:rPr>
      </w:pPr>
      <w:r>
        <w:rPr>
          <w:rFonts w:hint="eastAsia"/>
          <w:color w:val="auto"/>
          <w:lang w:val="en-US" w:eastAsia="zh-CN"/>
        </w:rPr>
        <w:t>7</w:t>
      </w:r>
      <w:r>
        <w:rPr>
          <w:color w:val="auto"/>
        </w:rPr>
        <w:t>.《</w:t>
      </w:r>
      <w:r>
        <w:rPr>
          <w:rFonts w:hint="eastAsia"/>
          <w:color w:val="auto"/>
          <w:lang w:eastAsia="zh-CN"/>
        </w:rPr>
        <w:t>尾矿设施施工及验收规范</w:t>
      </w:r>
      <w:r>
        <w:rPr>
          <w:color w:val="auto"/>
        </w:rPr>
        <w:t>》（GB50864-2013）；</w:t>
      </w:r>
    </w:p>
    <w:p w14:paraId="08CCF84B">
      <w:pPr>
        <w:bidi w:val="0"/>
        <w:rPr>
          <w:color w:val="auto"/>
        </w:rPr>
      </w:pPr>
      <w:r>
        <w:rPr>
          <w:rFonts w:hint="eastAsia"/>
          <w:color w:val="auto"/>
          <w:lang w:val="en-US" w:eastAsia="zh-CN"/>
        </w:rPr>
        <w:t>8</w:t>
      </w:r>
      <w:r>
        <w:rPr>
          <w:color w:val="auto"/>
        </w:rPr>
        <w:t>.《防洪标准》（GB50201-2014）；</w:t>
      </w:r>
    </w:p>
    <w:p w14:paraId="461A2D05">
      <w:pPr>
        <w:bidi w:val="0"/>
        <w:rPr>
          <w:color w:val="auto"/>
        </w:rPr>
      </w:pPr>
      <w:r>
        <w:rPr>
          <w:rFonts w:hint="eastAsia"/>
          <w:color w:val="auto"/>
          <w:lang w:val="en-US" w:eastAsia="zh-CN"/>
        </w:rPr>
        <w:t>9</w:t>
      </w:r>
      <w:r>
        <w:rPr>
          <w:color w:val="auto"/>
        </w:rPr>
        <w:t>.《</w:t>
      </w:r>
      <w:r>
        <w:rPr>
          <w:rFonts w:hint="eastAsia"/>
          <w:color w:val="auto"/>
          <w:lang w:eastAsia="zh-CN"/>
        </w:rPr>
        <w:t>建筑抗震设计</w:t>
      </w:r>
      <w:r>
        <w:rPr>
          <w:rFonts w:hint="eastAsia"/>
          <w:color w:val="auto"/>
          <w:lang w:val="en-US" w:eastAsia="zh-CN"/>
        </w:rPr>
        <w:t>标准</w:t>
      </w:r>
      <w:r>
        <w:rPr>
          <w:color w:val="auto"/>
        </w:rPr>
        <w:t>》（</w:t>
      </w:r>
      <w:r>
        <w:rPr>
          <w:rFonts w:hint="eastAsia"/>
          <w:color w:val="auto"/>
          <w:lang w:eastAsia="zh-CN"/>
        </w:rPr>
        <w:t>GB50011-2010</w:t>
      </w:r>
      <w:r>
        <w:rPr>
          <w:color w:val="auto"/>
        </w:rPr>
        <w:t>）；</w:t>
      </w:r>
    </w:p>
    <w:p w14:paraId="63176AF7">
      <w:pPr>
        <w:bidi w:val="0"/>
        <w:rPr>
          <w:color w:val="auto"/>
        </w:rPr>
      </w:pPr>
      <w:r>
        <w:rPr>
          <w:rFonts w:hint="eastAsia"/>
          <w:color w:val="auto"/>
          <w:lang w:val="en-US" w:eastAsia="zh-CN"/>
        </w:rPr>
        <w:t>10</w:t>
      </w:r>
      <w:r>
        <w:rPr>
          <w:color w:val="auto"/>
        </w:rPr>
        <w:t>.《构筑物抗震设计规范》（GB</w:t>
      </w:r>
      <w:r>
        <w:rPr>
          <w:rFonts w:hint="eastAsia"/>
          <w:color w:val="auto"/>
          <w:lang w:val="en-US" w:eastAsia="zh-CN"/>
        </w:rPr>
        <w:t>/T</w:t>
      </w:r>
      <w:r>
        <w:rPr>
          <w:color w:val="auto"/>
        </w:rPr>
        <w:t>50191-2012）；</w:t>
      </w:r>
    </w:p>
    <w:p w14:paraId="2CF88C5C">
      <w:pPr>
        <w:bidi w:val="0"/>
        <w:rPr>
          <w:color w:val="auto"/>
        </w:rPr>
      </w:pPr>
      <w:r>
        <w:rPr>
          <w:color w:val="auto"/>
        </w:rPr>
        <w:t>1</w:t>
      </w:r>
      <w:r>
        <w:rPr>
          <w:rFonts w:hint="eastAsia"/>
          <w:color w:val="auto"/>
          <w:lang w:val="en-US" w:eastAsia="zh-CN"/>
        </w:rPr>
        <w:t>1</w:t>
      </w:r>
      <w:r>
        <w:rPr>
          <w:color w:val="auto"/>
        </w:rPr>
        <w:t>.《中国地震动参数区划图》</w:t>
      </w:r>
      <w:r>
        <w:rPr>
          <w:rFonts w:hint="eastAsia"/>
          <w:color w:val="auto"/>
        </w:rPr>
        <w:t>（</w:t>
      </w:r>
      <w:r>
        <w:rPr>
          <w:color w:val="auto"/>
        </w:rPr>
        <w:t>18306-2015</w:t>
      </w:r>
      <w:r>
        <w:rPr>
          <w:rFonts w:hint="eastAsia"/>
          <w:color w:val="auto"/>
        </w:rPr>
        <w:t>）</w:t>
      </w:r>
    </w:p>
    <w:p w14:paraId="5DD85C9E">
      <w:pPr>
        <w:bidi w:val="0"/>
        <w:rPr>
          <w:color w:val="auto"/>
        </w:rPr>
      </w:pPr>
      <w:r>
        <w:rPr>
          <w:color w:val="auto"/>
        </w:rPr>
        <w:t>1</w:t>
      </w:r>
      <w:r>
        <w:rPr>
          <w:rFonts w:hint="eastAsia"/>
          <w:color w:val="auto"/>
          <w:lang w:val="en-US" w:eastAsia="zh-CN"/>
        </w:rPr>
        <w:t>2</w:t>
      </w:r>
      <w:r>
        <w:rPr>
          <w:color w:val="auto"/>
        </w:rPr>
        <w:t>.《碾压式土石坝设计规范》</w:t>
      </w:r>
      <w:r>
        <w:rPr>
          <w:rFonts w:hint="eastAsia"/>
          <w:color w:val="auto"/>
        </w:rPr>
        <w:t>（</w:t>
      </w:r>
      <w:r>
        <w:rPr>
          <w:color w:val="auto"/>
        </w:rPr>
        <w:t>SL274-2020</w:t>
      </w:r>
      <w:r>
        <w:rPr>
          <w:rFonts w:hint="eastAsia"/>
          <w:color w:val="auto"/>
        </w:rPr>
        <w:t>）</w:t>
      </w:r>
      <w:r>
        <w:rPr>
          <w:color w:val="auto"/>
        </w:rPr>
        <w:t>；</w:t>
      </w:r>
    </w:p>
    <w:p w14:paraId="37E31404">
      <w:pPr>
        <w:bidi w:val="0"/>
        <w:rPr>
          <w:color w:val="auto"/>
        </w:rPr>
      </w:pPr>
      <w:r>
        <w:rPr>
          <w:color w:val="auto"/>
        </w:rPr>
        <w:t>1</w:t>
      </w:r>
      <w:r>
        <w:rPr>
          <w:rFonts w:hint="eastAsia"/>
          <w:color w:val="auto"/>
          <w:lang w:val="en-US" w:eastAsia="zh-CN"/>
        </w:rPr>
        <w:t>3</w:t>
      </w:r>
      <w:r>
        <w:rPr>
          <w:color w:val="auto"/>
        </w:rPr>
        <w:t>.《砌石坝设计规范》（SL25-2006）；</w:t>
      </w:r>
    </w:p>
    <w:p w14:paraId="73FF3073">
      <w:pPr>
        <w:bidi w:val="0"/>
        <w:rPr>
          <w:color w:val="auto"/>
        </w:rPr>
      </w:pPr>
      <w:r>
        <w:rPr>
          <w:color w:val="auto"/>
        </w:rPr>
        <w:t>1</w:t>
      </w:r>
      <w:r>
        <w:rPr>
          <w:rFonts w:hint="eastAsia"/>
          <w:color w:val="auto"/>
          <w:lang w:val="en-US" w:eastAsia="zh-CN"/>
        </w:rPr>
        <w:t>4</w:t>
      </w:r>
      <w:r>
        <w:rPr>
          <w:color w:val="auto"/>
        </w:rPr>
        <w:t>.《水工混凝土结构设计规范》（SL191-2008）；</w:t>
      </w:r>
    </w:p>
    <w:p w14:paraId="2820337A">
      <w:pPr>
        <w:bidi w:val="0"/>
        <w:rPr>
          <w:color w:val="auto"/>
        </w:rPr>
      </w:pPr>
      <w:r>
        <w:rPr>
          <w:color w:val="auto"/>
        </w:rPr>
        <w:t>1</w:t>
      </w:r>
      <w:r>
        <w:rPr>
          <w:rFonts w:hint="eastAsia"/>
          <w:color w:val="auto"/>
          <w:lang w:val="en-US" w:eastAsia="zh-CN"/>
        </w:rPr>
        <w:t>5</w:t>
      </w:r>
      <w:r>
        <w:rPr>
          <w:color w:val="auto"/>
        </w:rPr>
        <w:t>.《砌体结构设计规范》（GB50003-2011）；</w:t>
      </w:r>
    </w:p>
    <w:p w14:paraId="1C4048D5">
      <w:pPr>
        <w:bidi w:val="0"/>
        <w:rPr>
          <w:color w:val="auto"/>
        </w:rPr>
      </w:pPr>
      <w:r>
        <w:rPr>
          <w:color w:val="auto"/>
        </w:rPr>
        <w:t>1</w:t>
      </w:r>
      <w:r>
        <w:rPr>
          <w:rFonts w:hint="eastAsia"/>
          <w:color w:val="auto"/>
          <w:lang w:val="en-US" w:eastAsia="zh-CN"/>
        </w:rPr>
        <w:t>6</w:t>
      </w:r>
      <w:r>
        <w:rPr>
          <w:color w:val="auto"/>
        </w:rPr>
        <w:t>.《</w:t>
      </w:r>
      <w:r>
        <w:rPr>
          <w:rFonts w:hint="eastAsia"/>
          <w:color w:val="auto"/>
          <w:lang w:eastAsia="zh-CN"/>
        </w:rPr>
        <w:t>混凝土结构设计</w:t>
      </w:r>
      <w:r>
        <w:rPr>
          <w:rFonts w:hint="eastAsia"/>
          <w:color w:val="auto"/>
          <w:lang w:val="en-US" w:eastAsia="zh-CN"/>
        </w:rPr>
        <w:t>标准</w:t>
      </w:r>
      <w:r>
        <w:rPr>
          <w:color w:val="auto"/>
        </w:rPr>
        <w:t>》（</w:t>
      </w:r>
      <w:r>
        <w:rPr>
          <w:rFonts w:hint="eastAsia"/>
          <w:color w:val="auto"/>
          <w:lang w:eastAsia="zh-CN"/>
        </w:rPr>
        <w:t>GB</w:t>
      </w:r>
      <w:r>
        <w:rPr>
          <w:rFonts w:hint="eastAsia"/>
          <w:color w:val="auto"/>
          <w:lang w:val="en-US" w:eastAsia="zh-CN"/>
        </w:rPr>
        <w:t>/T</w:t>
      </w:r>
      <w:r>
        <w:rPr>
          <w:rFonts w:hint="eastAsia"/>
          <w:color w:val="auto"/>
          <w:lang w:eastAsia="zh-CN"/>
        </w:rPr>
        <w:t>50010-2010</w:t>
      </w:r>
      <w:r>
        <w:rPr>
          <w:color w:val="auto"/>
        </w:rPr>
        <w:t>）；</w:t>
      </w:r>
    </w:p>
    <w:p w14:paraId="45832142">
      <w:pPr>
        <w:bidi w:val="0"/>
        <w:rPr>
          <w:color w:val="auto"/>
        </w:rPr>
      </w:pPr>
      <w:r>
        <w:rPr>
          <w:color w:val="auto"/>
        </w:rPr>
        <w:t>1</w:t>
      </w:r>
      <w:r>
        <w:rPr>
          <w:rFonts w:hint="eastAsia"/>
          <w:color w:val="auto"/>
          <w:lang w:val="en-US" w:eastAsia="zh-CN"/>
        </w:rPr>
        <w:t>7</w:t>
      </w:r>
      <w:r>
        <w:rPr>
          <w:color w:val="auto"/>
        </w:rPr>
        <w:t>.《给水排水工程构筑物结构设计规范》（GB50069-2002）；</w:t>
      </w:r>
    </w:p>
    <w:p w14:paraId="6155B821">
      <w:pPr>
        <w:bidi w:val="0"/>
        <w:rPr>
          <w:color w:val="auto"/>
        </w:rPr>
      </w:pPr>
      <w:r>
        <w:rPr>
          <w:color w:val="auto"/>
        </w:rPr>
        <w:t>1</w:t>
      </w:r>
      <w:r>
        <w:rPr>
          <w:rFonts w:hint="eastAsia"/>
          <w:color w:val="auto"/>
          <w:lang w:val="en-US" w:eastAsia="zh-CN"/>
        </w:rPr>
        <w:t>8</w:t>
      </w:r>
      <w:r>
        <w:rPr>
          <w:color w:val="auto"/>
        </w:rPr>
        <w:t>.《给水排水工程管道结构设计规范》（GB50332-2002）；</w:t>
      </w:r>
    </w:p>
    <w:p w14:paraId="143BE52C">
      <w:pPr>
        <w:bidi w:val="0"/>
        <w:rPr>
          <w:color w:val="auto"/>
        </w:rPr>
      </w:pPr>
      <w:r>
        <w:rPr>
          <w:color w:val="auto"/>
        </w:rPr>
        <w:t>1</w:t>
      </w:r>
      <w:r>
        <w:rPr>
          <w:rFonts w:hint="eastAsia"/>
          <w:color w:val="auto"/>
          <w:lang w:val="en-US" w:eastAsia="zh-CN"/>
        </w:rPr>
        <w:t>9</w:t>
      </w:r>
      <w:r>
        <w:rPr>
          <w:color w:val="auto"/>
        </w:rPr>
        <w:t>.《土工合成材料应用技术规范》（</w:t>
      </w:r>
      <w:r>
        <w:rPr>
          <w:rFonts w:hint="eastAsia"/>
          <w:color w:val="auto"/>
          <w:lang w:eastAsia="zh-CN"/>
        </w:rPr>
        <w:t>GB/T50290-2014</w:t>
      </w:r>
      <w:r>
        <w:rPr>
          <w:color w:val="auto"/>
        </w:rPr>
        <w:t>）；</w:t>
      </w:r>
    </w:p>
    <w:p w14:paraId="0E259096">
      <w:pPr>
        <w:bidi w:val="0"/>
        <w:rPr>
          <w:color w:val="auto"/>
        </w:rPr>
      </w:pPr>
      <w:r>
        <w:rPr>
          <w:rFonts w:hint="eastAsia"/>
          <w:color w:val="auto"/>
          <w:lang w:val="en-US" w:eastAsia="zh-CN"/>
        </w:rPr>
        <w:t>20</w:t>
      </w:r>
      <w:r>
        <w:rPr>
          <w:color w:val="auto"/>
        </w:rPr>
        <w:t>.《</w:t>
      </w:r>
      <w:r>
        <w:rPr>
          <w:rFonts w:hint="eastAsia"/>
          <w:color w:val="auto"/>
          <w:lang w:eastAsia="zh-CN"/>
        </w:rPr>
        <w:t>工业建筑防腐蚀设计标准</w:t>
      </w:r>
      <w:r>
        <w:rPr>
          <w:color w:val="auto"/>
        </w:rPr>
        <w:t>》（GB/T50046-2018）；</w:t>
      </w:r>
    </w:p>
    <w:p w14:paraId="2C28A4A4">
      <w:pPr>
        <w:bidi w:val="0"/>
        <w:rPr>
          <w:color w:val="auto"/>
        </w:rPr>
      </w:pPr>
      <w:r>
        <w:rPr>
          <w:color w:val="auto"/>
        </w:rPr>
        <w:t>2</w:t>
      </w:r>
      <w:r>
        <w:rPr>
          <w:rFonts w:hint="eastAsia"/>
          <w:color w:val="auto"/>
          <w:lang w:val="en-US" w:eastAsia="zh-CN"/>
        </w:rPr>
        <w:t>1</w:t>
      </w:r>
      <w:r>
        <w:rPr>
          <w:color w:val="auto"/>
        </w:rPr>
        <w:t>.《一般工业固体废物贮存和填埋污染控制标准》（GB18599-2020）；</w:t>
      </w:r>
    </w:p>
    <w:p w14:paraId="6F344333">
      <w:pPr>
        <w:bidi w:val="0"/>
        <w:rPr>
          <w:color w:val="auto"/>
        </w:rPr>
      </w:pPr>
      <w:r>
        <w:rPr>
          <w:color w:val="auto"/>
        </w:rPr>
        <w:t>2</w:t>
      </w:r>
      <w:r>
        <w:rPr>
          <w:rFonts w:hint="eastAsia"/>
          <w:color w:val="auto"/>
          <w:lang w:val="en-US" w:eastAsia="zh-CN"/>
        </w:rPr>
        <w:t>2</w:t>
      </w:r>
      <w:r>
        <w:rPr>
          <w:color w:val="auto"/>
        </w:rPr>
        <w:t>.《生产经营单位生产安全事故应急预案编制导则》（GB/T29639-2020）；</w:t>
      </w:r>
    </w:p>
    <w:p w14:paraId="36A024A6">
      <w:pPr>
        <w:bidi w:val="0"/>
        <w:rPr>
          <w:rFonts w:hint="eastAsia"/>
          <w:color w:val="auto"/>
          <w:lang w:eastAsia="zh-CN"/>
        </w:rPr>
      </w:pPr>
      <w:r>
        <w:rPr>
          <w:color w:val="auto"/>
        </w:rPr>
        <w:t>2</w:t>
      </w:r>
      <w:r>
        <w:rPr>
          <w:rFonts w:hint="eastAsia"/>
          <w:color w:val="auto"/>
          <w:lang w:val="en-US" w:eastAsia="zh-CN"/>
        </w:rPr>
        <w:t>3</w:t>
      </w:r>
      <w:r>
        <w:rPr>
          <w:color w:val="auto"/>
        </w:rPr>
        <w:t>.《水电枢纽工程等级划分及设计安全标准》（DL5180-2003）</w:t>
      </w:r>
      <w:r>
        <w:rPr>
          <w:rFonts w:hint="eastAsia"/>
          <w:color w:val="auto"/>
          <w:lang w:eastAsia="zh-CN"/>
        </w:rPr>
        <w:t>；</w:t>
      </w:r>
    </w:p>
    <w:p w14:paraId="620C2C1E">
      <w:pPr>
        <w:bidi w:val="0"/>
        <w:rPr>
          <w:color w:val="auto"/>
        </w:rPr>
      </w:pPr>
      <w:r>
        <w:rPr>
          <w:rFonts w:hint="eastAsia"/>
          <w:color w:val="auto"/>
        </w:rPr>
        <w:t>2</w:t>
      </w:r>
      <w:r>
        <w:rPr>
          <w:rFonts w:hint="eastAsia"/>
          <w:color w:val="auto"/>
          <w:lang w:val="en-US" w:eastAsia="zh-CN"/>
        </w:rPr>
        <w:t>4</w:t>
      </w:r>
      <w:r>
        <w:rPr>
          <w:rFonts w:hint="eastAsia"/>
          <w:color w:val="auto"/>
        </w:rPr>
        <w:t>.</w:t>
      </w:r>
      <w:r>
        <w:rPr>
          <w:color w:val="auto"/>
        </w:rPr>
        <w:t>其他有关的国家及行业标准、规范。</w:t>
      </w:r>
    </w:p>
    <w:p w14:paraId="12A8E40C">
      <w:pPr>
        <w:pStyle w:val="5"/>
        <w:bidi w:val="0"/>
        <w:rPr>
          <w:color w:val="auto"/>
        </w:rPr>
      </w:pPr>
      <w:bookmarkStart w:id="114" w:name="_Toc19109"/>
      <w:bookmarkStart w:id="115" w:name="_Toc2427"/>
      <w:bookmarkStart w:id="116" w:name="_Toc100570392"/>
      <w:bookmarkStart w:id="117" w:name="_Toc105057924"/>
      <w:bookmarkStart w:id="118" w:name="_Toc26570"/>
      <w:bookmarkStart w:id="119" w:name="_Toc30719"/>
      <w:r>
        <w:rPr>
          <w:color w:val="auto"/>
        </w:rPr>
        <w:t>建设项目合法证明文件</w:t>
      </w:r>
      <w:bookmarkEnd w:id="114"/>
      <w:bookmarkEnd w:id="115"/>
      <w:bookmarkEnd w:id="116"/>
      <w:bookmarkEnd w:id="117"/>
      <w:bookmarkEnd w:id="118"/>
      <w:bookmarkEnd w:id="119"/>
    </w:p>
    <w:p w14:paraId="06D027F1">
      <w:pPr>
        <w:bidi w:val="0"/>
        <w:rPr>
          <w:color w:val="auto"/>
        </w:rPr>
      </w:pPr>
      <w:bookmarkStart w:id="120" w:name="_Toc26510"/>
      <w:bookmarkStart w:id="121" w:name="_Toc26913"/>
      <w:r>
        <w:rPr>
          <w:color w:val="auto"/>
        </w:rPr>
        <w:t>1.营业执照；</w:t>
      </w:r>
    </w:p>
    <w:p w14:paraId="60EE5CF8">
      <w:pPr>
        <w:bidi w:val="0"/>
        <w:rPr>
          <w:color w:val="auto"/>
          <w:highlight w:val="none"/>
        </w:rPr>
      </w:pPr>
      <w:r>
        <w:rPr>
          <w:color w:val="auto"/>
          <w:highlight w:val="none"/>
        </w:rPr>
        <w:t>2.</w:t>
      </w:r>
      <w:r>
        <w:rPr>
          <w:rFonts w:hint="eastAsia"/>
          <w:color w:val="auto"/>
          <w:highlight w:val="none"/>
          <w:lang w:val="en-US" w:eastAsia="zh-CN"/>
        </w:rPr>
        <w:t>楚雄州</w:t>
      </w:r>
      <w:r>
        <w:rPr>
          <w:color w:val="auto"/>
          <w:highlight w:val="none"/>
        </w:rPr>
        <w:t>建设项目安全设施设计审批书（审批单位：</w:t>
      </w:r>
      <w:r>
        <w:rPr>
          <w:rFonts w:hint="eastAsia"/>
          <w:color w:val="auto"/>
          <w:highlight w:val="none"/>
          <w:lang w:eastAsia="zh-CN"/>
        </w:rPr>
        <w:t>楚雄</w:t>
      </w:r>
      <w:r>
        <w:rPr>
          <w:rFonts w:hint="eastAsia"/>
          <w:color w:val="auto"/>
          <w:highlight w:val="none"/>
          <w:lang w:val="en-US" w:eastAsia="zh-CN"/>
        </w:rPr>
        <w:t>彝族自治州应急管理局</w:t>
      </w:r>
      <w:r>
        <w:rPr>
          <w:color w:val="auto"/>
          <w:highlight w:val="none"/>
        </w:rPr>
        <w:t>，批准日期：20</w:t>
      </w:r>
      <w:r>
        <w:rPr>
          <w:rFonts w:hint="eastAsia"/>
          <w:color w:val="auto"/>
          <w:highlight w:val="none"/>
          <w:lang w:val="en-US" w:eastAsia="zh-CN"/>
        </w:rPr>
        <w:t>23</w:t>
      </w:r>
      <w:r>
        <w:rPr>
          <w:color w:val="auto"/>
          <w:highlight w:val="none"/>
        </w:rPr>
        <w:t>年</w:t>
      </w:r>
      <w:r>
        <w:rPr>
          <w:rFonts w:hint="eastAsia"/>
          <w:color w:val="auto"/>
          <w:highlight w:val="none"/>
          <w:lang w:val="en-US" w:eastAsia="zh-CN"/>
        </w:rPr>
        <w:t>4</w:t>
      </w:r>
      <w:r>
        <w:rPr>
          <w:color w:val="auto"/>
          <w:highlight w:val="none"/>
        </w:rPr>
        <w:t>月）。</w:t>
      </w:r>
    </w:p>
    <w:bookmarkEnd w:id="120"/>
    <w:bookmarkEnd w:id="121"/>
    <w:p w14:paraId="1786C1EE">
      <w:pPr>
        <w:pStyle w:val="5"/>
        <w:bidi w:val="0"/>
        <w:rPr>
          <w:color w:val="auto"/>
        </w:rPr>
      </w:pPr>
      <w:bookmarkStart w:id="122" w:name="_Toc29771"/>
      <w:bookmarkStart w:id="123" w:name="_Toc32753"/>
      <w:r>
        <w:rPr>
          <w:color w:val="auto"/>
        </w:rPr>
        <w:t>建设项目技术资料</w:t>
      </w:r>
      <w:bookmarkEnd w:id="122"/>
      <w:bookmarkEnd w:id="123"/>
    </w:p>
    <w:p w14:paraId="0F73555A">
      <w:pPr>
        <w:pStyle w:val="108"/>
        <w:numPr>
          <w:ilvl w:val="0"/>
          <w:numId w:val="6"/>
        </w:numPr>
        <w:rPr>
          <w:color w:val="auto"/>
        </w:rPr>
      </w:pPr>
      <w:r>
        <w:rPr>
          <w:color w:val="auto"/>
        </w:rPr>
        <w:t>《</w:t>
      </w:r>
      <w:r>
        <w:rPr>
          <w:rFonts w:hint="eastAsia" w:ascii="宋体" w:cs="宋体"/>
          <w:color w:val="auto"/>
          <w:sz w:val="28"/>
          <w:szCs w:val="28"/>
          <w:lang w:val="en-US" w:eastAsia="zh-CN"/>
        </w:rPr>
        <w:t>元谋县大远矿业有限公司红坡铁矿选厂尾矿库</w:t>
      </w:r>
      <w:r>
        <w:rPr>
          <w:rFonts w:hint="eastAsia" w:ascii="宋体" w:cs="宋体"/>
          <w:color w:val="auto"/>
          <w:sz w:val="28"/>
          <w:szCs w:val="28"/>
          <w:lang w:val="en-GB" w:eastAsia="zh-CN"/>
        </w:rPr>
        <w:t>闭库项目</w:t>
      </w:r>
      <w:r>
        <w:rPr>
          <w:rFonts w:hint="eastAsia" w:ascii="宋体" w:cs="宋体"/>
          <w:color w:val="auto"/>
          <w:sz w:val="28"/>
          <w:szCs w:val="28"/>
        </w:rPr>
        <w:t>岩土工程勘察报告</w:t>
      </w:r>
      <w:r>
        <w:rPr>
          <w:color w:val="auto"/>
        </w:rPr>
        <w:t>》，</w:t>
      </w:r>
      <w:r>
        <w:rPr>
          <w:rFonts w:hint="eastAsia" w:ascii="宋体" w:cs="宋体"/>
          <w:color w:val="auto"/>
          <w:sz w:val="28"/>
          <w:szCs w:val="28"/>
          <w:lang w:eastAsia="zh-CN"/>
        </w:rPr>
        <w:t>云南创钧岩土工程有限公司</w:t>
      </w:r>
      <w:r>
        <w:rPr>
          <w:color w:val="auto"/>
        </w:rPr>
        <w:t>，20</w:t>
      </w:r>
      <w:r>
        <w:rPr>
          <w:rFonts w:hint="eastAsia"/>
          <w:color w:val="auto"/>
          <w:lang w:val="en-US" w:eastAsia="zh-CN"/>
        </w:rPr>
        <w:t>22</w:t>
      </w:r>
      <w:r>
        <w:rPr>
          <w:color w:val="auto"/>
        </w:rPr>
        <w:t>年</w:t>
      </w:r>
      <w:r>
        <w:rPr>
          <w:rFonts w:hint="eastAsia"/>
          <w:color w:val="auto"/>
          <w:lang w:val="en-US" w:eastAsia="zh-CN"/>
        </w:rPr>
        <w:t>9</w:t>
      </w:r>
      <w:r>
        <w:rPr>
          <w:color w:val="auto"/>
        </w:rPr>
        <w:t>月；</w:t>
      </w:r>
    </w:p>
    <w:p w14:paraId="1EF88C77">
      <w:pPr>
        <w:pStyle w:val="108"/>
        <w:numPr>
          <w:ilvl w:val="0"/>
          <w:numId w:val="6"/>
        </w:numPr>
        <w:rPr>
          <w:color w:val="auto"/>
        </w:rPr>
      </w:pPr>
      <w:r>
        <w:rPr>
          <w:color w:val="auto"/>
        </w:rPr>
        <w:t>《</w:t>
      </w:r>
      <w:r>
        <w:rPr>
          <w:rFonts w:hint="eastAsia" w:ascii="宋体" w:cs="宋体"/>
          <w:color w:val="auto"/>
          <w:sz w:val="28"/>
          <w:szCs w:val="28"/>
          <w:lang w:val="en-US" w:eastAsia="zh-CN"/>
        </w:rPr>
        <w:t>元谋县大远矿业有限公司红坡铁矿选厂尾矿库闭库安全现状评价</w:t>
      </w:r>
      <w:r>
        <w:rPr>
          <w:color w:val="auto"/>
        </w:rPr>
        <w:t>》，</w:t>
      </w:r>
      <w:r>
        <w:rPr>
          <w:rFonts w:hint="eastAsia" w:ascii="宋体" w:cs="宋体"/>
          <w:color w:val="auto"/>
          <w:sz w:val="28"/>
          <w:szCs w:val="28"/>
          <w:lang w:val="en-US" w:eastAsia="zh-CN"/>
        </w:rPr>
        <w:t>昭通市鼎安科技有限公司</w:t>
      </w:r>
      <w:r>
        <w:rPr>
          <w:color w:val="auto"/>
        </w:rPr>
        <w:t>，20</w:t>
      </w:r>
      <w:r>
        <w:rPr>
          <w:rFonts w:hint="eastAsia"/>
          <w:color w:val="auto"/>
          <w:lang w:val="en-US" w:eastAsia="zh-CN"/>
        </w:rPr>
        <w:t>23</w:t>
      </w:r>
      <w:r>
        <w:rPr>
          <w:color w:val="auto"/>
        </w:rPr>
        <w:t>年</w:t>
      </w:r>
      <w:r>
        <w:rPr>
          <w:rFonts w:hint="eastAsia"/>
          <w:color w:val="auto"/>
          <w:lang w:val="en-US" w:eastAsia="zh-CN"/>
        </w:rPr>
        <w:t>3月</w:t>
      </w:r>
      <w:r>
        <w:rPr>
          <w:color w:val="auto"/>
        </w:rPr>
        <w:t>；</w:t>
      </w:r>
    </w:p>
    <w:p w14:paraId="2EBFC8C7">
      <w:pPr>
        <w:pStyle w:val="108"/>
        <w:numPr>
          <w:ilvl w:val="0"/>
          <w:numId w:val="6"/>
        </w:numPr>
        <w:rPr>
          <w:color w:val="auto"/>
        </w:rPr>
      </w:pPr>
      <w:r>
        <w:rPr>
          <w:rFonts w:hint="eastAsia" w:ascii="宋体" w:cs="宋体"/>
          <w:color w:val="auto"/>
          <w:sz w:val="28"/>
          <w:szCs w:val="28"/>
          <w:lang w:val="en-US" w:eastAsia="zh-CN"/>
        </w:rPr>
        <w:t>《元谋县大远矿业有限公司红坡铁矿选厂尾矿库闭库工程初步设计》昆明赛特拉矿山工程设计有限公司，2023年4月；</w:t>
      </w:r>
    </w:p>
    <w:p w14:paraId="01B2EB7D">
      <w:pPr>
        <w:pStyle w:val="108"/>
        <w:numPr>
          <w:ilvl w:val="0"/>
          <w:numId w:val="6"/>
        </w:numPr>
        <w:rPr>
          <w:color w:val="auto"/>
        </w:rPr>
      </w:pPr>
      <w:r>
        <w:rPr>
          <w:rFonts w:hint="eastAsia" w:ascii="宋体" w:cs="宋体"/>
          <w:color w:val="auto"/>
          <w:sz w:val="28"/>
          <w:szCs w:val="28"/>
          <w:lang w:val="en-US" w:eastAsia="zh-CN"/>
        </w:rPr>
        <w:t>《元谋县大远矿业有限公司红坡铁矿选厂尾矿库闭库工程安全设施设计》昆明赛特拉矿山工程设计有限公司，2023年4月；</w:t>
      </w:r>
    </w:p>
    <w:p w14:paraId="4EB52DEB">
      <w:pPr>
        <w:pStyle w:val="108"/>
        <w:numPr>
          <w:ilvl w:val="0"/>
          <w:numId w:val="6"/>
        </w:numPr>
        <w:rPr>
          <w:color w:val="auto"/>
          <w:highlight w:val="none"/>
        </w:rPr>
      </w:pPr>
      <w:r>
        <w:rPr>
          <w:rFonts w:hint="eastAsia"/>
          <w:color w:val="auto"/>
          <w:highlight w:val="none"/>
          <w:lang w:eastAsia="zh-CN"/>
        </w:rPr>
        <w:t>《元谋县大远矿业有限公司红坡铁矿选厂尾矿库闭库工程</w:t>
      </w:r>
      <w:r>
        <w:rPr>
          <w:rFonts w:hint="eastAsia"/>
          <w:color w:val="auto"/>
          <w:highlight w:val="none"/>
          <w:lang w:val="en-US" w:eastAsia="zh-CN"/>
        </w:rPr>
        <w:t>竣工报告</w:t>
      </w:r>
      <w:r>
        <w:rPr>
          <w:rFonts w:hint="eastAsia"/>
          <w:color w:val="auto"/>
          <w:highlight w:val="none"/>
          <w:lang w:eastAsia="zh-CN"/>
        </w:rPr>
        <w:t>》亮云建设集团有限公司，</w:t>
      </w:r>
      <w:r>
        <w:rPr>
          <w:rFonts w:hint="eastAsia"/>
          <w:color w:val="auto"/>
          <w:highlight w:val="none"/>
          <w:lang w:val="en-US" w:eastAsia="zh-CN"/>
        </w:rPr>
        <w:t>2024年1月；</w:t>
      </w:r>
    </w:p>
    <w:p w14:paraId="491C29A8">
      <w:pPr>
        <w:pStyle w:val="108"/>
        <w:numPr>
          <w:ilvl w:val="0"/>
          <w:numId w:val="6"/>
        </w:numPr>
        <w:rPr>
          <w:color w:val="auto"/>
          <w:highlight w:val="none"/>
        </w:rPr>
      </w:pPr>
      <w:r>
        <w:rPr>
          <w:rFonts w:hint="eastAsia"/>
          <w:color w:val="auto"/>
          <w:highlight w:val="none"/>
          <w:lang w:eastAsia="zh-CN"/>
        </w:rPr>
        <w:t>《元谋县大远矿业有限公司红坡铁矿选厂尾矿库闭库工程</w:t>
      </w:r>
      <w:r>
        <w:rPr>
          <w:rFonts w:hint="eastAsia"/>
          <w:color w:val="auto"/>
          <w:highlight w:val="none"/>
          <w:lang w:val="en-US" w:eastAsia="zh-CN"/>
        </w:rPr>
        <w:t>监理总结报告</w:t>
      </w:r>
      <w:r>
        <w:rPr>
          <w:rFonts w:hint="eastAsia"/>
          <w:color w:val="auto"/>
          <w:highlight w:val="none"/>
          <w:lang w:eastAsia="zh-CN"/>
        </w:rPr>
        <w:t>》</w:t>
      </w:r>
      <w:r>
        <w:rPr>
          <w:rFonts w:hint="eastAsia"/>
          <w:color w:val="auto"/>
          <w:highlight w:val="none"/>
          <w:lang w:val="en-US" w:eastAsia="zh-CN"/>
        </w:rPr>
        <w:t>中鸿荣造项目管理有限公司</w:t>
      </w:r>
      <w:r>
        <w:rPr>
          <w:rFonts w:hint="eastAsia"/>
          <w:color w:val="auto"/>
          <w:highlight w:val="none"/>
          <w:lang w:eastAsia="zh-CN"/>
        </w:rPr>
        <w:t>，</w:t>
      </w:r>
      <w:r>
        <w:rPr>
          <w:rFonts w:hint="eastAsia"/>
          <w:color w:val="auto"/>
          <w:highlight w:val="none"/>
          <w:lang w:val="en-US" w:eastAsia="zh-CN"/>
        </w:rPr>
        <w:t>2024年1月；</w:t>
      </w:r>
    </w:p>
    <w:p w14:paraId="4C36384E">
      <w:pPr>
        <w:pStyle w:val="108"/>
        <w:numPr>
          <w:ilvl w:val="0"/>
          <w:numId w:val="6"/>
        </w:numPr>
        <w:rPr>
          <w:color w:val="auto"/>
        </w:rPr>
      </w:pPr>
      <w:r>
        <w:rPr>
          <w:color w:val="auto"/>
        </w:rPr>
        <w:t>尾</w:t>
      </w:r>
      <w:r>
        <w:rPr>
          <w:rFonts w:hint="eastAsia"/>
          <w:color w:val="auto"/>
        </w:rPr>
        <w:t>矿</w:t>
      </w:r>
      <w:r>
        <w:rPr>
          <w:color w:val="auto"/>
        </w:rPr>
        <w:t>库运行管理资料；</w:t>
      </w:r>
    </w:p>
    <w:p w14:paraId="1339325D">
      <w:pPr>
        <w:pStyle w:val="108"/>
        <w:numPr>
          <w:ilvl w:val="0"/>
          <w:numId w:val="6"/>
        </w:numPr>
        <w:rPr>
          <w:color w:val="auto"/>
        </w:rPr>
      </w:pPr>
      <w:r>
        <w:rPr>
          <w:color w:val="auto"/>
        </w:rPr>
        <w:t>安全管理相关文件资料；</w:t>
      </w:r>
    </w:p>
    <w:p w14:paraId="765B6F71">
      <w:pPr>
        <w:pStyle w:val="108"/>
        <w:numPr>
          <w:ilvl w:val="0"/>
          <w:numId w:val="6"/>
        </w:numPr>
        <w:rPr>
          <w:color w:val="auto"/>
        </w:rPr>
      </w:pPr>
      <w:r>
        <w:rPr>
          <w:color w:val="auto"/>
        </w:rPr>
        <w:t>企业提供的其他资料。</w:t>
      </w:r>
    </w:p>
    <w:p w14:paraId="6734BF3B">
      <w:pPr>
        <w:pStyle w:val="5"/>
        <w:bidi w:val="0"/>
        <w:rPr>
          <w:color w:val="auto"/>
        </w:rPr>
      </w:pPr>
      <w:bookmarkStart w:id="124" w:name="_Toc105057926"/>
      <w:bookmarkStart w:id="125" w:name="_Toc5827"/>
      <w:bookmarkStart w:id="126" w:name="_Toc12162"/>
      <w:bookmarkStart w:id="127" w:name="_Toc31325"/>
      <w:bookmarkStart w:id="128" w:name="_Toc100570394"/>
      <w:bookmarkStart w:id="129" w:name="_Toc26285"/>
      <w:r>
        <w:rPr>
          <w:color w:val="auto"/>
        </w:rPr>
        <w:t>其他评价依据</w:t>
      </w:r>
      <w:bookmarkEnd w:id="124"/>
      <w:bookmarkEnd w:id="125"/>
      <w:bookmarkEnd w:id="126"/>
      <w:bookmarkEnd w:id="127"/>
      <w:bookmarkEnd w:id="128"/>
      <w:bookmarkEnd w:id="129"/>
    </w:p>
    <w:p w14:paraId="2597EB45">
      <w:pPr>
        <w:rPr>
          <w:color w:val="auto"/>
        </w:rPr>
      </w:pPr>
      <w:r>
        <w:rPr>
          <w:color w:val="auto"/>
        </w:rPr>
        <w:t>1.评价委托书；</w:t>
      </w:r>
    </w:p>
    <w:p w14:paraId="70C38124">
      <w:pPr>
        <w:rPr>
          <w:color w:val="auto"/>
        </w:rPr>
      </w:pPr>
      <w:r>
        <w:rPr>
          <w:color w:val="auto"/>
        </w:rPr>
        <w:t>2.安全验收评价其他资料。</w:t>
      </w:r>
    </w:p>
    <w:p w14:paraId="6B032AB3">
      <w:pPr>
        <w:pStyle w:val="4"/>
        <w:bidi w:val="0"/>
        <w:rPr>
          <w:color w:val="auto"/>
        </w:rPr>
      </w:pPr>
      <w:bookmarkStart w:id="130" w:name="_Toc13134"/>
      <w:bookmarkStart w:id="131" w:name="_Toc3432"/>
      <w:bookmarkStart w:id="132" w:name="_Toc282089811"/>
      <w:bookmarkStart w:id="133" w:name="_Toc31647"/>
      <w:bookmarkStart w:id="134" w:name="_Toc100570395"/>
      <w:bookmarkStart w:id="135" w:name="_Toc18930"/>
      <w:bookmarkStart w:id="136" w:name="_Toc281411404"/>
      <w:bookmarkStart w:id="137" w:name="_Toc5128"/>
      <w:bookmarkStart w:id="138" w:name="_Toc105057927"/>
      <w:bookmarkStart w:id="139" w:name="_Toc9566"/>
      <w:bookmarkStart w:id="140" w:name="_Toc177553543"/>
      <w:bookmarkStart w:id="141" w:name="_Toc162433059"/>
      <w:bookmarkStart w:id="142" w:name="_Toc137113232"/>
      <w:bookmarkStart w:id="143" w:name="_Toc116384305"/>
      <w:bookmarkStart w:id="144" w:name="_Toc127005204"/>
      <w:r>
        <w:rPr>
          <w:color w:val="auto"/>
        </w:rPr>
        <w:t>评价原则</w:t>
      </w:r>
      <w:bookmarkEnd w:id="130"/>
      <w:bookmarkEnd w:id="131"/>
      <w:bookmarkEnd w:id="132"/>
      <w:bookmarkEnd w:id="133"/>
      <w:bookmarkEnd w:id="134"/>
      <w:bookmarkEnd w:id="135"/>
      <w:bookmarkEnd w:id="136"/>
      <w:bookmarkEnd w:id="137"/>
      <w:bookmarkEnd w:id="138"/>
      <w:bookmarkEnd w:id="139"/>
      <w:bookmarkEnd w:id="140"/>
      <w:bookmarkEnd w:id="141"/>
    </w:p>
    <w:bookmarkEnd w:id="142"/>
    <w:bookmarkEnd w:id="143"/>
    <w:bookmarkEnd w:id="144"/>
    <w:p w14:paraId="38A2B3FC">
      <w:pPr>
        <w:rPr>
          <w:color w:val="auto"/>
        </w:rPr>
      </w:pPr>
      <w:bookmarkStart w:id="145" w:name="_Toc281411406"/>
      <w:bookmarkStart w:id="146" w:name="_Toc177553545"/>
      <w:bookmarkStart w:id="147" w:name="_Toc17979"/>
      <w:bookmarkStart w:id="148" w:name="_Toc137113233"/>
      <w:bookmarkStart w:id="149" w:name="_Toc282089813"/>
      <w:bookmarkStart w:id="150" w:name="_Toc25033"/>
      <w:bookmarkStart w:id="151" w:name="_Toc162433061"/>
      <w:r>
        <w:rPr>
          <w:color w:val="auto"/>
        </w:rPr>
        <w:t>昭通市鼎安科技有限公司在对</w:t>
      </w:r>
      <w:r>
        <w:rPr>
          <w:rFonts w:hint="eastAsia"/>
          <w:color w:val="auto"/>
          <w:lang w:eastAsia="zh-CN"/>
        </w:rPr>
        <w:t>元谋县大远矿业有限公司红坡铁矿选厂尾矿库闭库</w:t>
      </w:r>
      <w:r>
        <w:rPr>
          <w:color w:val="auto"/>
        </w:rPr>
        <w:t>工程进行安全</w:t>
      </w:r>
      <w:r>
        <w:rPr>
          <w:rFonts w:hint="eastAsia"/>
          <w:color w:val="auto"/>
          <w:lang w:val="en-US" w:eastAsia="zh-CN"/>
        </w:rPr>
        <w:t>验收</w:t>
      </w:r>
      <w:r>
        <w:rPr>
          <w:color w:val="auto"/>
        </w:rPr>
        <w:t>评价工作中，始终坚持以下原则：</w:t>
      </w:r>
    </w:p>
    <w:p w14:paraId="7EDFB17A">
      <w:pPr>
        <w:rPr>
          <w:color w:val="auto"/>
        </w:rPr>
      </w:pPr>
      <w:r>
        <w:rPr>
          <w:color w:val="auto"/>
        </w:rPr>
        <w:t>1.严格执行国家现行有关法律、法规、标准和规范的要求，保证对</w:t>
      </w:r>
      <w:r>
        <w:rPr>
          <w:rFonts w:hint="eastAsia"/>
          <w:color w:val="auto"/>
          <w:lang w:eastAsia="zh-CN"/>
        </w:rPr>
        <w:t>元谋县大远矿业有限公司红坡铁矿选厂尾矿库闭库</w:t>
      </w:r>
      <w:r>
        <w:rPr>
          <w:color w:val="auto"/>
        </w:rPr>
        <w:t>工程应具备的安全生产条件进行科学、公正、合法、自主的评价；</w:t>
      </w:r>
    </w:p>
    <w:p w14:paraId="13074BFA">
      <w:pPr>
        <w:rPr>
          <w:color w:val="auto"/>
        </w:rPr>
      </w:pPr>
      <w:r>
        <w:rPr>
          <w:color w:val="auto"/>
        </w:rPr>
        <w:t>2.执行行业及地方现行有关法规、标准、规范和政策的要求，保证评价与当地经济发展的适应性；</w:t>
      </w:r>
    </w:p>
    <w:p w14:paraId="47F1250C">
      <w:pPr>
        <w:rPr>
          <w:color w:val="auto"/>
        </w:rPr>
      </w:pPr>
      <w:r>
        <w:rPr>
          <w:color w:val="auto"/>
        </w:rPr>
        <w:t>3.采用可靠、适用的评价技术和评价方法，保证评价的针对性，确保评价质量；</w:t>
      </w:r>
    </w:p>
    <w:p w14:paraId="45537EC4">
      <w:pPr>
        <w:rPr>
          <w:color w:val="auto"/>
        </w:rPr>
      </w:pPr>
      <w:r>
        <w:rPr>
          <w:color w:val="auto"/>
        </w:rPr>
        <w:t>4.恪守职业道德，遵循诚实守信的原则，对被评价企业的技术资料和商业运作保密。</w:t>
      </w:r>
    </w:p>
    <w:p w14:paraId="765ABCEA">
      <w:pPr>
        <w:pStyle w:val="4"/>
        <w:bidi w:val="0"/>
        <w:rPr>
          <w:color w:val="auto"/>
        </w:rPr>
      </w:pPr>
      <w:bookmarkStart w:id="152" w:name="_Toc28963"/>
      <w:bookmarkStart w:id="153" w:name="_Toc23013"/>
      <w:bookmarkStart w:id="154" w:name="_Toc100570396"/>
      <w:bookmarkStart w:id="155" w:name="_Toc10436"/>
      <w:bookmarkStart w:id="156" w:name="_Toc6514"/>
      <w:bookmarkStart w:id="157" w:name="_Toc105057928"/>
      <w:r>
        <w:rPr>
          <w:color w:val="auto"/>
        </w:rPr>
        <w:t>评价程序</w:t>
      </w:r>
      <w:bookmarkEnd w:id="145"/>
      <w:bookmarkEnd w:id="146"/>
      <w:bookmarkEnd w:id="147"/>
      <w:bookmarkEnd w:id="148"/>
      <w:bookmarkEnd w:id="149"/>
      <w:bookmarkEnd w:id="150"/>
      <w:bookmarkEnd w:id="151"/>
      <w:bookmarkEnd w:id="152"/>
      <w:bookmarkEnd w:id="153"/>
      <w:bookmarkEnd w:id="154"/>
      <w:bookmarkEnd w:id="155"/>
      <w:bookmarkEnd w:id="156"/>
      <w:bookmarkEnd w:id="157"/>
    </w:p>
    <w:p w14:paraId="58933C0D">
      <w:pPr>
        <w:bidi w:val="0"/>
        <w:rPr>
          <w:color w:val="auto"/>
        </w:rPr>
      </w:pPr>
      <w:r>
        <w:rPr>
          <w:color w:val="auto"/>
        </w:rPr>
        <w:t>安全评价程序包括：</w:t>
      </w:r>
    </w:p>
    <w:p w14:paraId="4D876984">
      <w:pPr>
        <w:bidi w:val="0"/>
        <w:rPr>
          <w:color w:val="auto"/>
        </w:rPr>
      </w:pPr>
      <w:r>
        <w:rPr>
          <w:color w:val="auto"/>
        </w:rPr>
        <w:t>1.前期准备</w:t>
      </w:r>
    </w:p>
    <w:p w14:paraId="0719178C">
      <w:pPr>
        <w:bidi w:val="0"/>
        <w:rPr>
          <w:color w:val="auto"/>
        </w:rPr>
      </w:pPr>
      <w:r>
        <w:rPr>
          <w:color w:val="auto"/>
        </w:rPr>
        <w:t>（1）明确评价对象和评价范围；</w:t>
      </w:r>
    </w:p>
    <w:p w14:paraId="10A4DECB">
      <w:pPr>
        <w:bidi w:val="0"/>
        <w:rPr>
          <w:color w:val="auto"/>
        </w:rPr>
      </w:pPr>
      <w:r>
        <w:rPr>
          <w:color w:val="auto"/>
        </w:rPr>
        <w:t>（2）组建评价组；</w:t>
      </w:r>
    </w:p>
    <w:p w14:paraId="43F5E36F">
      <w:pPr>
        <w:bidi w:val="0"/>
        <w:rPr>
          <w:color w:val="auto"/>
        </w:rPr>
      </w:pPr>
      <w:r>
        <w:rPr>
          <w:color w:val="auto"/>
        </w:rPr>
        <w:t>（3）收集国内外相关法律法规、标准、规章、规范；</w:t>
      </w:r>
    </w:p>
    <w:p w14:paraId="79EF09A9">
      <w:pPr>
        <w:bidi w:val="0"/>
        <w:rPr>
          <w:color w:val="auto"/>
        </w:rPr>
      </w:pPr>
      <w:r>
        <w:rPr>
          <w:color w:val="auto"/>
        </w:rPr>
        <w:t>（4）收集并分析评价对象的基础资料、相关事故案例；</w:t>
      </w:r>
    </w:p>
    <w:p w14:paraId="1A8B45CA">
      <w:pPr>
        <w:bidi w:val="0"/>
        <w:rPr>
          <w:color w:val="auto"/>
        </w:rPr>
      </w:pPr>
      <w:r>
        <w:rPr>
          <w:color w:val="auto"/>
        </w:rPr>
        <w:t>（5）对类比工程进行实地调查等内容。</w:t>
      </w:r>
    </w:p>
    <w:p w14:paraId="0235F014">
      <w:pPr>
        <w:bidi w:val="0"/>
        <w:rPr>
          <w:color w:val="auto"/>
        </w:rPr>
      </w:pPr>
      <w:r>
        <w:rPr>
          <w:color w:val="auto"/>
        </w:rPr>
        <w:t>2.辨识与分析危险、有害因素</w:t>
      </w:r>
    </w:p>
    <w:p w14:paraId="0E968618">
      <w:pPr>
        <w:bidi w:val="0"/>
        <w:rPr>
          <w:color w:val="auto"/>
        </w:rPr>
      </w:pPr>
      <w:r>
        <w:rPr>
          <w:color w:val="auto"/>
        </w:rPr>
        <w:t>（1）辨识和分析评价对象可能存在的各种危险、有害因素；</w:t>
      </w:r>
    </w:p>
    <w:p w14:paraId="69E7B5A3">
      <w:pPr>
        <w:bidi w:val="0"/>
        <w:rPr>
          <w:color w:val="auto"/>
        </w:rPr>
      </w:pPr>
      <w:r>
        <w:rPr>
          <w:color w:val="auto"/>
        </w:rPr>
        <w:t>（2）分析危险、有害因素发生作用的途径及其变化规律。</w:t>
      </w:r>
    </w:p>
    <w:p w14:paraId="1EBC339E">
      <w:pPr>
        <w:bidi w:val="0"/>
        <w:rPr>
          <w:color w:val="auto"/>
        </w:rPr>
      </w:pPr>
      <w:r>
        <w:rPr>
          <w:color w:val="auto"/>
        </w:rPr>
        <w:t>3.划分评价单元</w:t>
      </w:r>
    </w:p>
    <w:p w14:paraId="37C7CE4F">
      <w:pPr>
        <w:bidi w:val="0"/>
        <w:rPr>
          <w:color w:val="auto"/>
        </w:rPr>
      </w:pPr>
      <w:r>
        <w:rPr>
          <w:color w:val="auto"/>
        </w:rPr>
        <w:t>评价单元的划分应考虑安全验收评价的特点，以自然条件、基本工艺条件、危险、有害因素分布及状况、便于实施评价为原则进行。</w:t>
      </w:r>
    </w:p>
    <w:p w14:paraId="550DFDEC">
      <w:pPr>
        <w:bidi w:val="0"/>
        <w:rPr>
          <w:color w:val="auto"/>
        </w:rPr>
      </w:pPr>
      <w:r>
        <w:rPr>
          <w:color w:val="auto"/>
        </w:rPr>
        <w:t>4.选择评价方法</w:t>
      </w:r>
    </w:p>
    <w:p w14:paraId="1D726F49">
      <w:pPr>
        <w:bidi w:val="0"/>
        <w:rPr>
          <w:color w:val="auto"/>
        </w:rPr>
      </w:pPr>
      <w:r>
        <w:rPr>
          <w:color w:val="auto"/>
        </w:rPr>
        <w:t>对于不同的评价单元，可根据评价的需要和单元特征选择不同的评价方法。</w:t>
      </w:r>
    </w:p>
    <w:p w14:paraId="7D18D340">
      <w:pPr>
        <w:bidi w:val="0"/>
        <w:rPr>
          <w:color w:val="auto"/>
        </w:rPr>
      </w:pPr>
      <w:r>
        <w:rPr>
          <w:color w:val="auto"/>
        </w:rPr>
        <w:t>5.定性定量评价</w:t>
      </w:r>
    </w:p>
    <w:p w14:paraId="6BA51509">
      <w:pPr>
        <w:bidi w:val="0"/>
        <w:rPr>
          <w:color w:val="auto"/>
        </w:rPr>
      </w:pPr>
      <w:r>
        <w:rPr>
          <w:color w:val="auto"/>
        </w:rPr>
        <w:t>根据评价的目的、要求和评价对象的特点、工艺、功能或活动分布，选择科学、合理、适用的定性、定量评价方法对危险、有害因素导致事故发生的可能性及其严重程度进行定性定量评价。</w:t>
      </w:r>
    </w:p>
    <w:p w14:paraId="6234149A">
      <w:pPr>
        <w:bidi w:val="0"/>
        <w:rPr>
          <w:color w:val="auto"/>
        </w:rPr>
      </w:pPr>
      <w:r>
        <w:rPr>
          <w:color w:val="auto"/>
        </w:rPr>
        <w:t>6.提出安全对策措施建议</w:t>
      </w:r>
    </w:p>
    <w:p w14:paraId="37F41B86">
      <w:pPr>
        <w:bidi w:val="0"/>
        <w:rPr>
          <w:color w:val="auto"/>
        </w:rPr>
      </w:pPr>
      <w:r>
        <w:rPr>
          <w:color w:val="auto"/>
        </w:rPr>
        <w:t>（1）为保障评价对象建成或实施后能安全运行，从评价对象的总图布置、设施、设备等方面提出安全技术对策措施；</w:t>
      </w:r>
    </w:p>
    <w:p w14:paraId="496DC271">
      <w:pPr>
        <w:bidi w:val="0"/>
        <w:rPr>
          <w:color w:val="auto"/>
        </w:rPr>
      </w:pPr>
      <w:r>
        <w:rPr>
          <w:color w:val="auto"/>
        </w:rPr>
        <w:t>（2）从评价对象的组织机构设置、人员管理、安全管理、应急救援管理等方面提出安全管理对策措施；</w:t>
      </w:r>
    </w:p>
    <w:p w14:paraId="6C25A6E0">
      <w:pPr>
        <w:bidi w:val="0"/>
        <w:rPr>
          <w:color w:val="auto"/>
        </w:rPr>
      </w:pPr>
      <w:r>
        <w:rPr>
          <w:color w:val="auto"/>
        </w:rPr>
        <w:t>（3）从保证评价对象安全运行需要提出其他安全对策措施。</w:t>
      </w:r>
    </w:p>
    <w:p w14:paraId="50B9E664">
      <w:pPr>
        <w:bidi w:val="0"/>
        <w:rPr>
          <w:color w:val="auto"/>
        </w:rPr>
      </w:pPr>
      <w:r>
        <w:rPr>
          <w:color w:val="auto"/>
        </w:rPr>
        <w:t>7.做出评价结论</w:t>
      </w:r>
    </w:p>
    <w:p w14:paraId="0B6B142F">
      <w:pPr>
        <w:bidi w:val="0"/>
        <w:rPr>
          <w:color w:val="auto"/>
        </w:rPr>
      </w:pPr>
      <w:r>
        <w:rPr>
          <w:color w:val="auto"/>
        </w:rPr>
        <w:t>概括评价结果，给出评价对象在评价时的条件下与国家有关法律法规、标准、规章、规范的符合性结论，给出危险、有害因素引发各类事故的可能性及其严重程度的预测性结论，明确评价对象能否安全运行的结论。</w:t>
      </w:r>
    </w:p>
    <w:p w14:paraId="2973F16B">
      <w:pPr>
        <w:bidi w:val="0"/>
        <w:rPr>
          <w:color w:val="auto"/>
        </w:rPr>
      </w:pPr>
      <w:r>
        <w:rPr>
          <w:color w:val="auto"/>
        </w:rPr>
        <w:t>8.编制安全评价报告</w:t>
      </w:r>
    </w:p>
    <w:p w14:paraId="0D4C5917">
      <w:pPr>
        <w:bidi w:val="0"/>
        <w:rPr>
          <w:color w:val="auto"/>
        </w:rPr>
      </w:pPr>
      <w:r>
        <w:rPr>
          <w:color w:val="auto"/>
        </w:rPr>
        <w:t>安全评价报告是安全评价工作过程的具体体现，是评价对象在建设过程中或实施过程中的安全技术性指导文件。安全评价报告文字应简洁、准确，可同时采用图表和照片，以使评价过程和结论清楚、明确，利于阅读和审查。</w:t>
      </w:r>
    </w:p>
    <w:p w14:paraId="514DBAB0">
      <w:pPr>
        <w:bidi w:val="0"/>
        <w:rPr>
          <w:color w:val="auto"/>
        </w:rPr>
      </w:pPr>
      <w:r>
        <w:rPr>
          <w:color w:val="auto"/>
        </w:rPr>
        <w:t>安全评价程序见图1-1。</w:t>
      </w:r>
    </w:p>
    <w:p w14:paraId="692FBB27">
      <w:pPr>
        <w:pStyle w:val="56"/>
        <w:ind w:firstLine="280"/>
        <w:jc w:val="center"/>
        <w:rPr>
          <w:color w:val="auto"/>
        </w:rPr>
      </w:pPr>
      <w:r>
        <w:rPr>
          <w:color w:val="auto"/>
        </w:rPr>
        <w:drawing>
          <wp:inline distT="0" distB="0" distL="0" distR="0">
            <wp:extent cx="3389630" cy="4987290"/>
            <wp:effectExtent l="0" t="0" r="1270" b="3810"/>
            <wp:docPr id="16" name="图片 16" descr="图示,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示, 表格&#10;&#10;描述已自动生成"/>
                    <pic:cNvPicPr>
                      <a:picLocks noChangeAspect="1"/>
                    </pic:cNvPicPr>
                  </pic:nvPicPr>
                  <pic:blipFill>
                    <a:blip r:embed="rId15">
                      <a:extLst>
                        <a:ext uri="{28A0092B-C50C-407E-A947-70E740481C1C}">
                          <a14:useLocalDpi xmlns:a14="http://schemas.microsoft.com/office/drawing/2010/main" val="0"/>
                        </a:ext>
                      </a:extLst>
                    </a:blip>
                    <a:srcRect t="5786" b="6117"/>
                    <a:stretch>
                      <a:fillRect/>
                    </a:stretch>
                  </pic:blipFill>
                  <pic:spPr>
                    <a:xfrm>
                      <a:off x="0" y="0"/>
                      <a:ext cx="3392926" cy="4991705"/>
                    </a:xfrm>
                    <a:prstGeom prst="rect">
                      <a:avLst/>
                    </a:prstGeom>
                    <a:ln>
                      <a:noFill/>
                    </a:ln>
                  </pic:spPr>
                </pic:pic>
              </a:graphicData>
            </a:graphic>
          </wp:inline>
        </w:drawing>
      </w:r>
    </w:p>
    <w:p w14:paraId="0E14E9C2">
      <w:pPr>
        <w:pStyle w:val="56"/>
        <w:ind w:firstLine="281"/>
        <w:jc w:val="center"/>
        <w:rPr>
          <w:b/>
          <w:bCs/>
          <w:color w:val="auto"/>
        </w:rPr>
      </w:pPr>
      <w:r>
        <w:rPr>
          <w:b/>
          <w:bCs/>
          <w:color w:val="auto"/>
        </w:rPr>
        <w:t>图</w:t>
      </w:r>
      <w:r>
        <w:rPr>
          <w:b/>
          <w:bCs/>
          <w:color w:val="auto"/>
        </w:rPr>
        <w:fldChar w:fldCharType="begin"/>
      </w:r>
      <w:r>
        <w:rPr>
          <w:b/>
          <w:bCs/>
          <w:color w:val="auto"/>
        </w:rPr>
        <w:instrText xml:space="preserve"> STYLEREF 1 \s </w:instrText>
      </w:r>
      <w:r>
        <w:rPr>
          <w:b/>
          <w:bCs/>
          <w:color w:val="auto"/>
        </w:rPr>
        <w:fldChar w:fldCharType="separate"/>
      </w:r>
      <w:r>
        <w:rPr>
          <w:b/>
          <w:bCs/>
          <w:color w:val="auto"/>
        </w:rPr>
        <w:t>1</w:t>
      </w:r>
      <w:r>
        <w:rPr>
          <w:b/>
          <w:bCs/>
          <w:color w:val="auto"/>
        </w:rPr>
        <w:fldChar w:fldCharType="end"/>
      </w:r>
      <w:r>
        <w:rPr>
          <w:b/>
          <w:bCs/>
          <w:color w:val="auto"/>
        </w:rPr>
        <w:noBreakHyphen/>
      </w:r>
      <w:r>
        <w:rPr>
          <w:b/>
          <w:bCs/>
          <w:color w:val="auto"/>
        </w:rPr>
        <w:fldChar w:fldCharType="begin"/>
      </w:r>
      <w:r>
        <w:rPr>
          <w:b/>
          <w:bCs/>
          <w:color w:val="auto"/>
        </w:rPr>
        <w:instrText xml:space="preserve"> SEQ 图 \* ARABIC \s 1 </w:instrText>
      </w:r>
      <w:r>
        <w:rPr>
          <w:b/>
          <w:bCs/>
          <w:color w:val="auto"/>
        </w:rPr>
        <w:fldChar w:fldCharType="separate"/>
      </w:r>
      <w:r>
        <w:rPr>
          <w:b/>
          <w:bCs/>
          <w:color w:val="auto"/>
        </w:rPr>
        <w:t>1</w:t>
      </w:r>
      <w:r>
        <w:rPr>
          <w:b/>
          <w:bCs/>
          <w:color w:val="auto"/>
        </w:rPr>
        <w:fldChar w:fldCharType="end"/>
      </w:r>
      <w:r>
        <w:rPr>
          <w:b/>
          <w:bCs/>
          <w:color w:val="auto"/>
        </w:rPr>
        <w:t>安全验收评价程序图</w:t>
      </w:r>
    </w:p>
    <w:p w14:paraId="60494710">
      <w:pPr>
        <w:rPr>
          <w:color w:val="auto"/>
        </w:rPr>
      </w:pPr>
      <w:r>
        <w:rPr>
          <w:color w:val="auto"/>
        </w:rPr>
        <w:t>安全评价程序包括：准备阶段，危险、有害因素识别与分析，划分安全评价单元，选择安全评价方法，定性、定量评价，提出安全对策措施及建议，做出安全评价结论，编制安全评价报告。本次评价工作大体分为三个阶段：</w:t>
      </w:r>
    </w:p>
    <w:p w14:paraId="2D149F41">
      <w:pPr>
        <w:rPr>
          <w:color w:val="auto"/>
        </w:rPr>
      </w:pPr>
      <w:r>
        <w:rPr>
          <w:color w:val="auto"/>
        </w:rPr>
        <w:t>第一阶段为前期准备阶段：202</w:t>
      </w:r>
      <w:r>
        <w:rPr>
          <w:rFonts w:hint="eastAsia"/>
          <w:color w:val="auto"/>
          <w:lang w:val="en-US" w:eastAsia="zh-CN"/>
        </w:rPr>
        <w:t>3</w:t>
      </w:r>
      <w:r>
        <w:rPr>
          <w:color w:val="auto"/>
        </w:rPr>
        <w:t>年</w:t>
      </w:r>
      <w:r>
        <w:rPr>
          <w:rFonts w:hint="eastAsia"/>
          <w:color w:val="auto"/>
          <w:lang w:val="en-US" w:eastAsia="zh-CN"/>
        </w:rPr>
        <w:t>12</w:t>
      </w:r>
      <w:r>
        <w:rPr>
          <w:color w:val="auto"/>
        </w:rPr>
        <w:t>月</w:t>
      </w:r>
      <w:r>
        <w:rPr>
          <w:rFonts w:hint="eastAsia"/>
          <w:color w:val="auto"/>
          <w:lang w:val="en-US" w:eastAsia="zh-CN"/>
        </w:rPr>
        <w:t>1</w:t>
      </w:r>
      <w:r>
        <w:rPr>
          <w:color w:val="auto"/>
        </w:rPr>
        <w:t>日企业与昭通市鼎安科技有限公司签订了安全评价委托书。签订委托书后，昭通市鼎安科技有限公司组织各专业的技术人员和专家组成的评价项目组，拟定项目现场调研计划，进行数据收集，包括相关法律、法规、标准、规章、规范、同类行业相关数据以及事故案例；初步的分析和危险有害因素识别，选择评价方法，编制工作计划。</w:t>
      </w:r>
    </w:p>
    <w:p w14:paraId="08701962">
      <w:pPr>
        <w:rPr>
          <w:rStyle w:val="106"/>
          <w:rFonts w:hint="default" w:eastAsia="宋体"/>
          <w:color w:val="auto"/>
          <w:lang w:val="en-US" w:eastAsia="zh-CN"/>
        </w:rPr>
      </w:pPr>
      <w:r>
        <w:rPr>
          <w:rStyle w:val="106"/>
          <w:color w:val="auto"/>
        </w:rPr>
        <w:t>第二阶段为实施评价阶段：202</w:t>
      </w:r>
      <w:r>
        <w:rPr>
          <w:rStyle w:val="106"/>
          <w:rFonts w:hint="eastAsia"/>
          <w:color w:val="auto"/>
          <w:lang w:val="en-US" w:eastAsia="zh-CN"/>
        </w:rPr>
        <w:t>3</w:t>
      </w:r>
      <w:r>
        <w:rPr>
          <w:rStyle w:val="106"/>
          <w:color w:val="auto"/>
        </w:rPr>
        <w:t>年</w:t>
      </w:r>
      <w:r>
        <w:rPr>
          <w:rStyle w:val="106"/>
          <w:rFonts w:hint="eastAsia"/>
          <w:color w:val="auto"/>
          <w:lang w:val="en-US" w:eastAsia="zh-CN"/>
        </w:rPr>
        <w:t>12</w:t>
      </w:r>
      <w:r>
        <w:rPr>
          <w:rStyle w:val="106"/>
          <w:color w:val="auto"/>
        </w:rPr>
        <w:t>月</w:t>
      </w:r>
      <w:r>
        <w:rPr>
          <w:rStyle w:val="106"/>
          <w:rFonts w:hint="eastAsia"/>
          <w:color w:val="auto"/>
          <w:lang w:val="en-US" w:eastAsia="zh-CN"/>
        </w:rPr>
        <w:t>5</w:t>
      </w:r>
      <w:r>
        <w:rPr>
          <w:rStyle w:val="106"/>
          <w:color w:val="auto"/>
        </w:rPr>
        <w:t>日，评价组进场对尾</w:t>
      </w:r>
      <w:r>
        <w:rPr>
          <w:rStyle w:val="106"/>
          <w:rFonts w:hint="eastAsia"/>
          <w:color w:val="auto"/>
        </w:rPr>
        <w:t>矿</w:t>
      </w:r>
      <w:r>
        <w:rPr>
          <w:rStyle w:val="106"/>
          <w:color w:val="auto"/>
        </w:rPr>
        <w:t>库进行现场调查和资料收集工作</w:t>
      </w:r>
      <w:r>
        <w:rPr>
          <w:rStyle w:val="106"/>
          <w:rFonts w:hint="eastAsia"/>
          <w:color w:val="auto"/>
          <w:lang w:eastAsia="zh-CN"/>
        </w:rPr>
        <w:t>。</w:t>
      </w:r>
      <w:r>
        <w:rPr>
          <w:rStyle w:val="106"/>
          <w:rFonts w:hint="eastAsia"/>
          <w:color w:val="auto"/>
          <w:lang w:val="en-US" w:eastAsia="zh-CN"/>
        </w:rPr>
        <w:t>2024年4月22日，闭库工程全部完工后评价组再次进场复核。</w:t>
      </w:r>
    </w:p>
    <w:p w14:paraId="4741204D">
      <w:pPr>
        <w:rPr>
          <w:color w:val="auto"/>
        </w:rPr>
      </w:pPr>
      <w:r>
        <w:rPr>
          <w:color w:val="auto"/>
        </w:rPr>
        <w:t>第三阶段为实施评价阶段：根据前期准备及现场获得的数据、数据，辨识与分析危险、有害因素，并确定其危险程度。合理划分评价单元，选择评价方法，进行定性、定量评价和分析，提出相应的对策措施和建议。项目组将收集到的各种数据、数据进行汇总，综合分析后提出结论与建议，202</w:t>
      </w:r>
      <w:r>
        <w:rPr>
          <w:rFonts w:hint="eastAsia"/>
          <w:color w:val="auto"/>
          <w:lang w:val="en-US" w:eastAsia="zh-CN"/>
        </w:rPr>
        <w:t>4</w:t>
      </w:r>
      <w:r>
        <w:rPr>
          <w:color w:val="auto"/>
        </w:rPr>
        <w:t>年</w:t>
      </w:r>
      <w:r>
        <w:rPr>
          <w:rFonts w:hint="eastAsia"/>
          <w:color w:val="auto"/>
          <w:lang w:val="en-US" w:eastAsia="zh-CN"/>
        </w:rPr>
        <w:t>10</w:t>
      </w:r>
      <w:r>
        <w:rPr>
          <w:color w:val="auto"/>
        </w:rPr>
        <w:t>月</w:t>
      </w:r>
      <w:r>
        <w:rPr>
          <w:rFonts w:hint="eastAsia"/>
          <w:color w:val="auto"/>
          <w:lang w:val="en-US" w:eastAsia="zh-CN"/>
        </w:rPr>
        <w:t>25</w:t>
      </w:r>
      <w:r>
        <w:rPr>
          <w:color w:val="auto"/>
        </w:rPr>
        <w:t>日完成安全评价报告书的编制，并交昭通市鼎安科技有限公司审查机构审查定稿。</w:t>
      </w:r>
    </w:p>
    <w:p w14:paraId="74318A63">
      <w:pPr>
        <w:pStyle w:val="4"/>
        <w:bidi w:val="0"/>
        <w:rPr>
          <w:color w:val="auto"/>
        </w:rPr>
      </w:pPr>
      <w:bookmarkStart w:id="158" w:name="_Toc25929"/>
      <w:bookmarkStart w:id="159" w:name="_Toc7704"/>
      <w:bookmarkStart w:id="160" w:name="_Toc100570397"/>
      <w:bookmarkStart w:id="161" w:name="_Toc10552"/>
      <w:bookmarkStart w:id="162" w:name="_Toc20099"/>
      <w:bookmarkStart w:id="163" w:name="_Toc282089815"/>
      <w:bookmarkStart w:id="164" w:name="_Toc281411408"/>
      <w:bookmarkStart w:id="165" w:name="_Toc19503"/>
      <w:bookmarkStart w:id="166" w:name="_Toc18201"/>
      <w:bookmarkStart w:id="167" w:name="_Toc105057929"/>
      <w:r>
        <w:rPr>
          <w:color w:val="auto"/>
        </w:rPr>
        <w:t>评价报告使用权声明</w:t>
      </w:r>
      <w:bookmarkEnd w:id="158"/>
      <w:bookmarkEnd w:id="159"/>
      <w:bookmarkEnd w:id="160"/>
      <w:bookmarkEnd w:id="161"/>
      <w:bookmarkEnd w:id="162"/>
      <w:bookmarkEnd w:id="163"/>
      <w:bookmarkEnd w:id="164"/>
      <w:bookmarkEnd w:id="165"/>
      <w:bookmarkEnd w:id="166"/>
      <w:bookmarkEnd w:id="167"/>
    </w:p>
    <w:p w14:paraId="572E5995">
      <w:pPr>
        <w:rPr>
          <w:color w:val="auto"/>
        </w:rPr>
      </w:pPr>
      <w:r>
        <w:rPr>
          <w:color w:val="auto"/>
        </w:rPr>
        <w:t>本评价报告是</w:t>
      </w:r>
      <w:r>
        <w:rPr>
          <w:rFonts w:hint="eastAsia"/>
          <w:color w:val="auto"/>
          <w:lang w:eastAsia="zh-CN"/>
        </w:rPr>
        <w:t>元谋县应急管理局</w:t>
      </w:r>
      <w:r>
        <w:rPr>
          <w:color w:val="auto"/>
        </w:rPr>
        <w:t>委托而编制的，专属委托方使用。除按规定上报各级应急管理部门外，昭通市鼎安科技有限公司不会将本评价报告内容</w:t>
      </w:r>
      <w:r>
        <w:rPr>
          <w:rFonts w:hint="eastAsia"/>
          <w:color w:val="auto"/>
          <w:lang w:eastAsia="zh-CN"/>
        </w:rPr>
        <w:t>向其他</w:t>
      </w:r>
      <w:r>
        <w:rPr>
          <w:color w:val="auto"/>
        </w:rPr>
        <w:t>任何单位和个人提供，也不会将本评价报告的</w:t>
      </w:r>
      <w:r>
        <w:rPr>
          <w:rFonts w:hint="eastAsia"/>
          <w:color w:val="auto"/>
          <w:lang w:eastAsia="zh-CN"/>
        </w:rPr>
        <w:t>全部或部分</w:t>
      </w:r>
      <w:r>
        <w:rPr>
          <w:color w:val="auto"/>
        </w:rPr>
        <w:t>内容，在媒体上或</w:t>
      </w:r>
      <w:r>
        <w:rPr>
          <w:rFonts w:hint="eastAsia"/>
          <w:color w:val="auto"/>
          <w:lang w:eastAsia="zh-CN"/>
        </w:rPr>
        <w:t>以其他</w:t>
      </w:r>
      <w:r>
        <w:rPr>
          <w:color w:val="auto"/>
        </w:rPr>
        <w:t>形式公开发表</w:t>
      </w:r>
      <w:r>
        <w:rPr>
          <w:rFonts w:hint="eastAsia"/>
          <w:color w:val="auto"/>
        </w:rPr>
        <w:t>（</w:t>
      </w:r>
      <w:r>
        <w:rPr>
          <w:color w:val="auto"/>
        </w:rPr>
        <w:t>安全评价技术研究成果除外</w:t>
      </w:r>
      <w:r>
        <w:rPr>
          <w:rFonts w:hint="eastAsia"/>
          <w:color w:val="auto"/>
        </w:rPr>
        <w:t>）</w:t>
      </w:r>
      <w:r>
        <w:rPr>
          <w:color w:val="auto"/>
        </w:rPr>
        <w:t>。</w:t>
      </w:r>
    </w:p>
    <w:p w14:paraId="4D3DE46B">
      <w:pPr>
        <w:pStyle w:val="4"/>
        <w:bidi w:val="0"/>
        <w:rPr>
          <w:rFonts w:cs="Times New Roman"/>
          <w:color w:val="auto"/>
        </w:rPr>
      </w:pPr>
      <w:bookmarkStart w:id="168" w:name="_Toc24735"/>
      <w:bookmarkStart w:id="169" w:name="_Toc4094"/>
      <w:r>
        <w:rPr>
          <w:color w:val="auto"/>
        </w:rPr>
        <w:t>评价基准日</w:t>
      </w:r>
      <w:bookmarkEnd w:id="168"/>
      <w:bookmarkEnd w:id="169"/>
    </w:p>
    <w:p w14:paraId="45BE44F7">
      <w:pPr>
        <w:ind w:left="560" w:firstLine="0" w:firstLineChars="0"/>
        <w:rPr>
          <w:color w:val="auto"/>
        </w:rPr>
      </w:pPr>
      <w:r>
        <w:rPr>
          <w:color w:val="auto"/>
        </w:rPr>
        <w:t>评价基准日为：202</w:t>
      </w:r>
      <w:r>
        <w:rPr>
          <w:rFonts w:hint="eastAsia"/>
          <w:color w:val="auto"/>
          <w:lang w:val="en-US" w:eastAsia="zh-CN"/>
        </w:rPr>
        <w:t>4</w:t>
      </w:r>
      <w:r>
        <w:rPr>
          <w:color w:val="auto"/>
        </w:rPr>
        <w:t>年</w:t>
      </w:r>
      <w:r>
        <w:rPr>
          <w:rFonts w:hint="eastAsia"/>
          <w:color w:val="auto"/>
          <w:lang w:val="en-US" w:eastAsia="zh-CN"/>
        </w:rPr>
        <w:t>4</w:t>
      </w:r>
      <w:r>
        <w:rPr>
          <w:color w:val="auto"/>
        </w:rPr>
        <w:t>月</w:t>
      </w:r>
      <w:r>
        <w:rPr>
          <w:rFonts w:hint="eastAsia"/>
          <w:color w:val="auto"/>
          <w:lang w:val="en-US" w:eastAsia="zh-CN"/>
        </w:rPr>
        <w:t>22</w:t>
      </w:r>
      <w:r>
        <w:rPr>
          <w:color w:val="auto"/>
        </w:rPr>
        <w:t>日</w:t>
      </w:r>
      <w:r>
        <w:rPr>
          <w:rFonts w:hint="eastAsia"/>
          <w:color w:val="auto"/>
          <w:lang w:eastAsia="zh-CN"/>
        </w:rPr>
        <w:t>。</w:t>
      </w:r>
      <w:r>
        <w:rPr>
          <w:color w:val="auto"/>
        </w:rPr>
        <w:br w:type="page"/>
      </w:r>
    </w:p>
    <w:p w14:paraId="628A636D">
      <w:pPr>
        <w:pStyle w:val="3"/>
        <w:bidi w:val="0"/>
        <w:rPr>
          <w:color w:val="auto"/>
        </w:rPr>
      </w:pPr>
      <w:bookmarkStart w:id="170" w:name="_Toc282089816"/>
      <w:bookmarkStart w:id="171" w:name="_Toc281411409"/>
      <w:bookmarkStart w:id="172" w:name="_Toc105057930"/>
      <w:bookmarkStart w:id="173" w:name="_Toc18960"/>
      <w:bookmarkStart w:id="174" w:name="_Toc100570398"/>
      <w:bookmarkStart w:id="175" w:name="_Toc3860"/>
      <w:bookmarkStart w:id="176" w:name="_Toc3967"/>
      <w:bookmarkStart w:id="177" w:name="_Toc31894"/>
      <w:bookmarkStart w:id="178" w:name="_Toc26748"/>
      <w:bookmarkStart w:id="179" w:name="_Toc23714"/>
      <w:bookmarkStart w:id="180" w:name="_Toc179788672"/>
      <w:bookmarkStart w:id="181" w:name="_Toc161804636"/>
      <w:r>
        <w:rPr>
          <w:color w:val="auto"/>
        </w:rPr>
        <w:t>评价项目概述</w:t>
      </w:r>
      <w:bookmarkEnd w:id="170"/>
      <w:bookmarkEnd w:id="171"/>
      <w:bookmarkEnd w:id="172"/>
      <w:bookmarkEnd w:id="173"/>
      <w:bookmarkEnd w:id="174"/>
      <w:bookmarkEnd w:id="175"/>
      <w:bookmarkEnd w:id="176"/>
      <w:bookmarkEnd w:id="177"/>
      <w:bookmarkEnd w:id="178"/>
      <w:bookmarkEnd w:id="179"/>
    </w:p>
    <w:bookmarkEnd w:id="180"/>
    <w:bookmarkEnd w:id="181"/>
    <w:p w14:paraId="1A724540">
      <w:pPr>
        <w:pStyle w:val="4"/>
        <w:outlineLvl w:val="1"/>
        <w:rPr>
          <w:rFonts w:cs="Times New Roman"/>
          <w:color w:val="auto"/>
        </w:rPr>
      </w:pPr>
      <w:bookmarkStart w:id="182" w:name="_Toc7241"/>
      <w:bookmarkStart w:id="183" w:name="_Toc2887"/>
      <w:bookmarkStart w:id="184" w:name="_Toc16243"/>
      <w:bookmarkStart w:id="185" w:name="_Toc105057931"/>
      <w:bookmarkStart w:id="186" w:name="_Toc15858"/>
      <w:bookmarkStart w:id="187" w:name="_Toc100570399"/>
      <w:r>
        <w:rPr>
          <w:rFonts w:cs="Times New Roman"/>
          <w:color w:val="auto"/>
        </w:rPr>
        <w:t>建设单位概况</w:t>
      </w:r>
      <w:bookmarkEnd w:id="182"/>
      <w:bookmarkEnd w:id="183"/>
      <w:bookmarkEnd w:id="184"/>
      <w:bookmarkEnd w:id="185"/>
      <w:bookmarkEnd w:id="186"/>
      <w:bookmarkEnd w:id="187"/>
    </w:p>
    <w:p w14:paraId="459B380A">
      <w:pPr>
        <w:pStyle w:val="5"/>
        <w:outlineLvl w:val="2"/>
        <w:rPr>
          <w:color w:val="auto"/>
        </w:rPr>
      </w:pPr>
      <w:bookmarkStart w:id="188" w:name="_Toc100570400"/>
      <w:bookmarkStart w:id="189" w:name="_Toc11301"/>
      <w:bookmarkStart w:id="190" w:name="_Toc105057932"/>
      <w:bookmarkStart w:id="191" w:name="_Toc10302"/>
      <w:r>
        <w:rPr>
          <w:color w:val="auto"/>
        </w:rPr>
        <w:t>企业概况</w:t>
      </w:r>
      <w:bookmarkEnd w:id="188"/>
      <w:bookmarkEnd w:id="189"/>
      <w:bookmarkEnd w:id="190"/>
      <w:bookmarkEnd w:id="191"/>
    </w:p>
    <w:p w14:paraId="2F251624">
      <w:pPr>
        <w:keepNext w:val="0"/>
        <w:keepLines w:val="0"/>
        <w:widowControl/>
        <w:suppressLineNumbers w:val="0"/>
        <w:jc w:val="left"/>
        <w:rPr>
          <w:rFonts w:hint="eastAsia" w:ascii="宋体" w:hAnsi="宋体" w:cs="宋体"/>
          <w:snapToGrid w:val="0"/>
          <w:color w:val="auto"/>
          <w:kern w:val="0"/>
          <w:sz w:val="28"/>
          <w:szCs w:val="28"/>
          <w:lang w:val="en-US" w:eastAsia="zh-CN" w:bidi="ar"/>
        </w:rPr>
      </w:pPr>
      <w:bookmarkStart w:id="192" w:name="_Toc181545882"/>
      <w:bookmarkStart w:id="193" w:name="_Toc25371"/>
      <w:bookmarkStart w:id="194" w:name="_Toc15480"/>
      <w:bookmarkStart w:id="195" w:name="_Toc6362"/>
      <w:bookmarkStart w:id="196" w:name="_Toc184653852"/>
      <w:bookmarkStart w:id="197" w:name="_Toc282089823"/>
      <w:bookmarkStart w:id="198" w:name="_Toc100570401"/>
      <w:bookmarkStart w:id="199" w:name="_Toc281411416"/>
      <w:bookmarkStart w:id="200" w:name="_Toc105057933"/>
      <w:bookmarkStart w:id="201" w:name="_Toc15467"/>
      <w:r>
        <w:rPr>
          <w:rFonts w:hint="eastAsia" w:ascii="宋体" w:hAnsi="宋体" w:cs="宋体"/>
          <w:snapToGrid w:val="0"/>
          <w:color w:val="auto"/>
          <w:kern w:val="0"/>
          <w:sz w:val="28"/>
          <w:szCs w:val="28"/>
          <w:lang w:val="en-US" w:eastAsia="zh-CN" w:bidi="ar"/>
        </w:rPr>
        <w:t>元谋县大远矿业有限公司成立于2005年1月7日，经元谋县市场监督管理局注册登记，注册资本500万元，为有限责任公司（自然人投资或控股），住所位于云南省元谋县姜驿乡姜驿街，法定代表人姚云杰。经营范围为矿产品购销；进出口贸易、转口业务（依法须经批准的项目，经相关部门批准后方可开展经营活动）。元谋县大远矿业有限公司红坡铁矿选厂尾矿库属于元谋县大远矿业有限公司红坡铁矿选厂配套尾矿设施。根据元谋县人民政府元政报【2023】4号文件，元谋县大远矿业有限公司红坡铁矿选厂尾矿库属于无主尾矿库，由元谋县应急管理局负责闭库相关手续。</w:t>
      </w:r>
    </w:p>
    <w:p w14:paraId="37A62296">
      <w:pPr>
        <w:pStyle w:val="5"/>
        <w:outlineLvl w:val="2"/>
        <w:rPr>
          <w:color w:val="auto"/>
        </w:rPr>
      </w:pPr>
      <w:bookmarkStart w:id="202" w:name="_Toc17580"/>
      <w:bookmarkStart w:id="203" w:name="_Toc12464"/>
      <w:r>
        <w:rPr>
          <w:color w:val="auto"/>
        </w:rPr>
        <w:t>行政区划、地理位置与交通</w:t>
      </w:r>
      <w:bookmarkEnd w:id="192"/>
      <w:bookmarkEnd w:id="193"/>
      <w:bookmarkEnd w:id="194"/>
      <w:bookmarkEnd w:id="195"/>
      <w:bookmarkEnd w:id="196"/>
      <w:bookmarkEnd w:id="197"/>
      <w:bookmarkEnd w:id="198"/>
      <w:bookmarkEnd w:id="199"/>
      <w:bookmarkEnd w:id="200"/>
      <w:bookmarkEnd w:id="201"/>
      <w:bookmarkEnd w:id="202"/>
      <w:bookmarkEnd w:id="203"/>
    </w:p>
    <w:p w14:paraId="2322C510">
      <w:pPr>
        <w:rPr>
          <w:color w:val="auto"/>
        </w:rPr>
      </w:pPr>
      <w:r>
        <w:rPr>
          <w:rFonts w:hint="eastAsia" w:eastAsiaTheme="minorEastAsia"/>
          <w:color w:val="auto"/>
          <w:sz w:val="28"/>
          <w:szCs w:val="28"/>
          <w:lang w:val="en-US" w:eastAsia="zh-CN"/>
        </w:rPr>
        <w:t>元谋县大远矿业有限公司红坡铁矿选厂尾矿库位于金沙江北岸元谋县姜驿乡大地村，距县城42km，北与四川省会理县相接壤，自姜驿向北有41km的简易公路与川滇公路相接；向北21km的乡村公路通达金沙江边，并与成昆铁路隔江相望。矿区距姜驿乡政府所在地仅1.5km，有简易公路与乡村公路相连，交通较为便利。尾矿库占地100亩。地理位置见图2-1所示。</w:t>
      </w:r>
      <w:r>
        <w:rPr>
          <w:position w:val="-134"/>
        </w:rPr>
        <w:drawing>
          <wp:inline distT="0" distB="0" distL="0" distR="0">
            <wp:extent cx="5734685" cy="4117340"/>
            <wp:effectExtent l="0" t="0" r="18415" b="16510"/>
            <wp:docPr id="6" name="IM 4"/>
            <wp:cNvGraphicFramePr/>
            <a:graphic xmlns:a="http://schemas.openxmlformats.org/drawingml/2006/main">
              <a:graphicData uri="http://schemas.openxmlformats.org/drawingml/2006/picture">
                <pic:pic xmlns:pic="http://schemas.openxmlformats.org/drawingml/2006/picture">
                  <pic:nvPicPr>
                    <pic:cNvPr id="6" name="IM 4"/>
                    <pic:cNvPicPr/>
                  </pic:nvPicPr>
                  <pic:blipFill>
                    <a:blip r:embed="rId16"/>
                    <a:stretch>
                      <a:fillRect/>
                    </a:stretch>
                  </pic:blipFill>
                  <pic:spPr>
                    <a:xfrm>
                      <a:off x="0" y="0"/>
                      <a:ext cx="5734685" cy="4117340"/>
                    </a:xfrm>
                    <a:prstGeom prst="rect">
                      <a:avLst/>
                    </a:prstGeom>
                  </pic:spPr>
                </pic:pic>
              </a:graphicData>
            </a:graphic>
          </wp:inline>
        </w:drawing>
      </w:r>
    </w:p>
    <w:p w14:paraId="63E610D8">
      <w:pPr>
        <w:pStyle w:val="18"/>
        <w:rPr>
          <w:rFonts w:cs="Times New Roman"/>
          <w:color w:val="auto"/>
        </w:rPr>
      </w:pPr>
      <w:bookmarkStart w:id="204" w:name="_Ref103343208"/>
      <w:r>
        <w:rPr>
          <w:rFonts w:cs="Times New Roman"/>
          <w:color w:val="auto"/>
        </w:rPr>
        <w:t>图</w:t>
      </w:r>
      <w:r>
        <w:rPr>
          <w:rFonts w:cs="Times New Roman"/>
          <w:color w:val="auto"/>
        </w:rPr>
        <w:fldChar w:fldCharType="begin"/>
      </w:r>
      <w:r>
        <w:rPr>
          <w:rFonts w:cs="Times New Roman"/>
          <w:color w:val="auto"/>
        </w:rPr>
        <w:instrText xml:space="preserve"> STYLEREF 1 \s </w:instrText>
      </w:r>
      <w:r>
        <w:rPr>
          <w:rFonts w:cs="Times New Roman"/>
          <w:color w:val="auto"/>
        </w:rPr>
        <w:fldChar w:fldCharType="separate"/>
      </w:r>
      <w:r>
        <w:rPr>
          <w:rFonts w:cs="Times New Roman"/>
          <w:color w:val="auto"/>
        </w:rPr>
        <w:t>2</w:t>
      </w:r>
      <w:r>
        <w:rPr>
          <w:rFonts w:cs="Times New Roman"/>
          <w:color w:val="auto"/>
        </w:rPr>
        <w:fldChar w:fldCharType="end"/>
      </w:r>
      <w:r>
        <w:rPr>
          <w:rFonts w:cs="Times New Roman"/>
          <w:color w:val="auto"/>
        </w:rPr>
        <w:noBreakHyphen/>
      </w:r>
      <w:r>
        <w:rPr>
          <w:rFonts w:cs="Times New Roman"/>
          <w:color w:val="auto"/>
        </w:rPr>
        <w:fldChar w:fldCharType="begin"/>
      </w:r>
      <w:r>
        <w:rPr>
          <w:rFonts w:cs="Times New Roman"/>
          <w:color w:val="auto"/>
        </w:rPr>
        <w:instrText xml:space="preserve"> SEQ 图 \* ARABIC \s 1 </w:instrText>
      </w:r>
      <w:r>
        <w:rPr>
          <w:rFonts w:cs="Times New Roman"/>
          <w:color w:val="auto"/>
        </w:rPr>
        <w:fldChar w:fldCharType="separate"/>
      </w:r>
      <w:r>
        <w:rPr>
          <w:rFonts w:cs="Times New Roman"/>
          <w:color w:val="auto"/>
        </w:rPr>
        <w:t>1</w:t>
      </w:r>
      <w:r>
        <w:rPr>
          <w:rFonts w:cs="Times New Roman"/>
          <w:color w:val="auto"/>
        </w:rPr>
        <w:fldChar w:fldCharType="end"/>
      </w:r>
      <w:r>
        <w:rPr>
          <w:rFonts w:hint="eastAsia" w:cs="Times New Roman"/>
          <w:color w:val="auto"/>
          <w:lang w:val="en-US" w:eastAsia="zh-CN"/>
        </w:rPr>
        <w:t xml:space="preserve">  </w:t>
      </w:r>
      <w:r>
        <w:rPr>
          <w:rFonts w:cs="Times New Roman"/>
          <w:color w:val="auto"/>
        </w:rPr>
        <w:t>交通位置图</w:t>
      </w:r>
      <w:bookmarkEnd w:id="204"/>
    </w:p>
    <w:p w14:paraId="3596A755">
      <w:pPr>
        <w:pStyle w:val="4"/>
        <w:outlineLvl w:val="1"/>
        <w:rPr>
          <w:rFonts w:cs="Times New Roman"/>
          <w:color w:val="auto"/>
        </w:rPr>
      </w:pPr>
      <w:bookmarkStart w:id="205" w:name="_Toc215546265"/>
      <w:bookmarkStart w:id="206" w:name="_Toc282089824"/>
      <w:bookmarkStart w:id="207" w:name="_Toc281411417"/>
      <w:bookmarkStart w:id="208" w:name="_Toc9188"/>
      <w:bookmarkStart w:id="209" w:name="_Toc5772"/>
      <w:bookmarkStart w:id="210" w:name="_Toc13780"/>
      <w:bookmarkStart w:id="211" w:name="_Toc105057934"/>
      <w:bookmarkStart w:id="212" w:name="_Toc5157"/>
      <w:bookmarkStart w:id="213" w:name="_Toc6476"/>
      <w:bookmarkStart w:id="214" w:name="_Toc100570402"/>
      <w:bookmarkStart w:id="215" w:name="_Toc15636"/>
      <w:r>
        <w:rPr>
          <w:rFonts w:cs="Times New Roman"/>
          <w:color w:val="auto"/>
        </w:rPr>
        <w:t>自然环境</w:t>
      </w:r>
      <w:bookmarkEnd w:id="205"/>
      <w:bookmarkEnd w:id="206"/>
      <w:bookmarkEnd w:id="207"/>
      <w:r>
        <w:rPr>
          <w:rFonts w:cs="Times New Roman"/>
          <w:color w:val="auto"/>
        </w:rPr>
        <w:t>概况</w:t>
      </w:r>
      <w:bookmarkEnd w:id="208"/>
      <w:bookmarkEnd w:id="209"/>
      <w:bookmarkEnd w:id="210"/>
      <w:bookmarkEnd w:id="211"/>
      <w:bookmarkEnd w:id="212"/>
      <w:bookmarkEnd w:id="213"/>
      <w:bookmarkEnd w:id="214"/>
      <w:bookmarkEnd w:id="215"/>
    </w:p>
    <w:p w14:paraId="5ED5EB91">
      <w:pPr>
        <w:pStyle w:val="5"/>
        <w:outlineLvl w:val="2"/>
        <w:rPr>
          <w:color w:val="auto"/>
        </w:rPr>
      </w:pPr>
      <w:bookmarkStart w:id="216" w:name="_Toc32067"/>
      <w:bookmarkStart w:id="217" w:name="_Toc6989"/>
      <w:bookmarkStart w:id="218" w:name="_Toc26361"/>
      <w:bookmarkStart w:id="219" w:name="_Toc100570403"/>
      <w:bookmarkStart w:id="220" w:name="_Toc9339"/>
      <w:bookmarkStart w:id="221" w:name="_Toc105057935"/>
      <w:bookmarkStart w:id="222" w:name="_Toc8365"/>
      <w:bookmarkStart w:id="223" w:name="_Toc24641"/>
      <w:r>
        <w:rPr>
          <w:color w:val="auto"/>
        </w:rPr>
        <w:t>地形地貌</w:t>
      </w:r>
      <w:bookmarkEnd w:id="216"/>
      <w:bookmarkEnd w:id="217"/>
      <w:bookmarkEnd w:id="218"/>
      <w:bookmarkEnd w:id="219"/>
      <w:bookmarkEnd w:id="220"/>
      <w:bookmarkEnd w:id="221"/>
      <w:bookmarkEnd w:id="222"/>
      <w:bookmarkEnd w:id="223"/>
      <w:bookmarkStart w:id="224" w:name="_Toc184653855"/>
      <w:bookmarkStart w:id="225" w:name="_Toc181545885"/>
    </w:p>
    <w:p w14:paraId="17A5EFFE">
      <w:pPr>
        <w:rPr>
          <w:rFonts w:hint="eastAsia" w:ascii="Times New Roman" w:hAnsi="Times New Roman" w:eastAsia="宋体" w:cs="Times New Roman"/>
          <w:color w:val="auto"/>
          <w:lang w:val="en-US" w:eastAsia="zh-CN"/>
        </w:rPr>
      </w:pPr>
      <w:bookmarkStart w:id="226" w:name="_Toc184653854"/>
      <w:bookmarkStart w:id="227" w:name="_Toc282089825"/>
      <w:bookmarkStart w:id="228" w:name="_Toc105057936"/>
      <w:bookmarkStart w:id="229" w:name="_Toc281411418"/>
      <w:bookmarkStart w:id="230" w:name="_Toc13024"/>
      <w:bookmarkStart w:id="231" w:name="_Toc19525"/>
      <w:bookmarkStart w:id="232" w:name="_Toc215546266"/>
      <w:bookmarkStart w:id="233" w:name="_Toc29058"/>
      <w:bookmarkStart w:id="234" w:name="_Toc31217"/>
      <w:bookmarkStart w:id="235" w:name="_Toc100570404"/>
      <w:r>
        <w:rPr>
          <w:rFonts w:hint="eastAsia" w:ascii="Times New Roman" w:hAnsi="Times New Roman" w:eastAsia="宋体" w:cs="Times New Roman"/>
          <w:color w:val="auto"/>
          <w:lang w:val="en-US" w:eastAsia="zh-CN"/>
        </w:rPr>
        <w:t>元谋盆地位于云南省北部，是滇中高原上最低的一个盆地。区域构成东南高、西北低，四周高、中间低的势态，由南向北倾斜的“管箕凹”形。元谋红坡铁矿选厂尾矿库位于元谋盆地以北、金沙江北岸，属高中山山麓斜坡和侵蚀沟谷地貌。场地周边局部坡面形成由砂砾石及含钙质、铁质黏土巨厚层垂直节理发育的土林地貌。</w:t>
      </w:r>
    </w:p>
    <w:p w14:paraId="798CAC73">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库区高程介于1870～1930</w:t>
      </w:r>
      <w:r>
        <w:rPr>
          <w:rFonts w:hint="eastAsia" w:cs="Times New Roman"/>
          <w:color w:val="auto"/>
          <w:lang w:val="en-US" w:eastAsia="zh-CN"/>
        </w:rPr>
        <w:t>m</w:t>
      </w:r>
      <w:r>
        <w:rPr>
          <w:rFonts w:hint="eastAsia" w:ascii="Times New Roman" w:hAnsi="Times New Roman" w:eastAsia="宋体" w:cs="Times New Roman"/>
          <w:color w:val="auto"/>
          <w:lang w:val="en-US" w:eastAsia="zh-CN"/>
        </w:rPr>
        <w:t>之间，相对高差约60</w:t>
      </w:r>
      <w:r>
        <w:rPr>
          <w:rFonts w:hint="eastAsia" w:cs="Times New Roman"/>
          <w:color w:val="auto"/>
          <w:lang w:val="en-US" w:eastAsia="zh-CN"/>
        </w:rPr>
        <w:t>m</w:t>
      </w:r>
      <w:r>
        <w:rPr>
          <w:rFonts w:hint="eastAsia" w:ascii="Times New Roman" w:hAnsi="Times New Roman" w:eastAsia="宋体" w:cs="Times New Roman"/>
          <w:color w:val="auto"/>
          <w:lang w:val="en-US" w:eastAsia="zh-CN"/>
        </w:rPr>
        <w:t>,位于一冲沟中下游地段，冲沟整体走向115°,西北高，东南低，长约1000</w:t>
      </w:r>
      <w:r>
        <w:rPr>
          <w:rFonts w:hint="eastAsia" w:cs="Times New Roman"/>
          <w:color w:val="auto"/>
          <w:lang w:val="en-US" w:eastAsia="zh-CN"/>
        </w:rPr>
        <w:t>m</w:t>
      </w:r>
      <w:r>
        <w:rPr>
          <w:rFonts w:hint="eastAsia" w:ascii="Times New Roman" w:hAnsi="Times New Roman" w:eastAsia="宋体" w:cs="Times New Roman"/>
          <w:color w:val="auto"/>
          <w:lang w:val="en-US" w:eastAsia="zh-CN"/>
        </w:rPr>
        <w:t>,宽60～250</w:t>
      </w:r>
      <w:r>
        <w:rPr>
          <w:rFonts w:hint="eastAsia" w:cs="Times New Roman"/>
          <w:color w:val="auto"/>
          <w:lang w:val="en-US" w:eastAsia="zh-CN"/>
        </w:rPr>
        <w:t>m</w:t>
      </w:r>
      <w:r>
        <w:rPr>
          <w:rFonts w:hint="eastAsia" w:ascii="Times New Roman" w:hAnsi="Times New Roman" w:eastAsia="宋体" w:cs="Times New Roman"/>
          <w:color w:val="auto"/>
          <w:lang w:val="en-US" w:eastAsia="zh-CN"/>
        </w:rPr>
        <w:t>不等，切割深度一般20～50</w:t>
      </w:r>
      <w:r>
        <w:rPr>
          <w:rFonts w:hint="eastAsia" w:cs="Times New Roman"/>
          <w:color w:val="auto"/>
          <w:lang w:val="en-US" w:eastAsia="zh-CN"/>
        </w:rPr>
        <w:t>m</w:t>
      </w:r>
      <w:r>
        <w:rPr>
          <w:rFonts w:hint="eastAsia" w:ascii="Times New Roman" w:hAnsi="Times New Roman" w:eastAsia="宋体" w:cs="Times New Roman"/>
          <w:color w:val="auto"/>
          <w:lang w:val="en-US" w:eastAsia="zh-CN"/>
        </w:rPr>
        <w:t>。库区除下游均为坡地地形，坡度15°~25°左右。库尾(西北面)斜坡总体坡度约20°,库尾与坝址区高差约25</w:t>
      </w:r>
      <w:r>
        <w:rPr>
          <w:rFonts w:hint="eastAsia" w:cs="Times New Roman"/>
          <w:color w:val="auto"/>
          <w:lang w:val="en-US" w:eastAsia="zh-CN"/>
        </w:rPr>
        <w:t>m</w:t>
      </w:r>
      <w:r>
        <w:rPr>
          <w:rFonts w:hint="eastAsia" w:ascii="Times New Roman" w:hAnsi="Times New Roman" w:eastAsia="宋体" w:cs="Times New Roman"/>
          <w:color w:val="auto"/>
          <w:lang w:val="en-US" w:eastAsia="zh-CN"/>
        </w:rPr>
        <w:t>,整个库区三面密闭，适宜尾矿渣的堆积。目前堆积坝顶标高约1911.5</w:t>
      </w:r>
      <w:r>
        <w:rPr>
          <w:rFonts w:hint="eastAsia" w:cs="Times New Roman"/>
          <w:color w:val="auto"/>
          <w:lang w:val="en-US" w:eastAsia="zh-CN"/>
        </w:rPr>
        <w:t>m</w:t>
      </w:r>
      <w:r>
        <w:rPr>
          <w:rFonts w:hint="eastAsia" w:ascii="Times New Roman" w:hAnsi="Times New Roman" w:eastAsia="宋体" w:cs="Times New Roman"/>
          <w:color w:val="auto"/>
          <w:lang w:val="en-US" w:eastAsia="zh-CN"/>
        </w:rPr>
        <w:t>,外坡比约1:3.80,坝体整体稳定性良好。尾矿库自投入使用以来，未对周边自然环境产生不良影响。坝址区下游东南方向为姜驿大村居民居住区，距尾矿库直线距离约1.2k</w:t>
      </w:r>
      <w:r>
        <w:rPr>
          <w:rFonts w:hint="eastAsia" w:cs="Times New Roman"/>
          <w:color w:val="auto"/>
          <w:lang w:val="en-US" w:eastAsia="zh-CN"/>
        </w:rPr>
        <w:t>m</w:t>
      </w:r>
      <w:r>
        <w:rPr>
          <w:rFonts w:hint="eastAsia" w:ascii="Times New Roman" w:hAnsi="Times New Roman" w:eastAsia="宋体" w:cs="Times New Roman"/>
          <w:color w:val="auto"/>
          <w:lang w:val="en-US" w:eastAsia="zh-CN"/>
        </w:rPr>
        <w:t>，居民地地理位置高出谷底约40</w:t>
      </w:r>
      <w:r>
        <w:rPr>
          <w:rFonts w:hint="eastAsia" w:cs="Times New Roman"/>
          <w:color w:val="auto"/>
          <w:lang w:val="en-US" w:eastAsia="zh-CN"/>
        </w:rPr>
        <w:t>m</w:t>
      </w:r>
      <w:r>
        <w:rPr>
          <w:rFonts w:hint="eastAsia" w:ascii="Times New Roman" w:hAnsi="Times New Roman" w:eastAsia="宋体" w:cs="Times New Roman"/>
          <w:color w:val="auto"/>
          <w:lang w:val="en-US" w:eastAsia="zh-CN"/>
        </w:rPr>
        <w:t>，尾矿库对其无影响。</w:t>
      </w:r>
    </w:p>
    <w:p w14:paraId="4722E326">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尾矿库坝脚处为一季节性溪流，枯水期溪水接近干涸，仅少量地表水赋存。雨季时节，经尾矿库排洪系统分流，该沟谷会作为主要汇水区及自上而下的排泄通道，流量及流速将有所增加。</w:t>
      </w:r>
    </w:p>
    <w:p w14:paraId="41E50667">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现状调查表明，库区范围内植被覆盖率40%左右，且多为不规则散树及灌木丛，未见滑坡、崩塌等地质灾害的隐患，总体稳定。</w:t>
      </w:r>
    </w:p>
    <w:p w14:paraId="33CF07DE">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库区四周没有低邻谷分布。库区位于天然冲沟之上游。</w:t>
      </w:r>
    </w:p>
    <w:p w14:paraId="5A5A8CB3">
      <w:pPr>
        <w:pStyle w:val="5"/>
        <w:outlineLvl w:val="2"/>
        <w:rPr>
          <w:color w:val="auto"/>
        </w:rPr>
      </w:pPr>
      <w:bookmarkStart w:id="236" w:name="_Toc30655"/>
      <w:bookmarkStart w:id="237" w:name="_Toc12361"/>
      <w:r>
        <w:rPr>
          <w:color w:val="auto"/>
        </w:rPr>
        <w:t>气象、水文条件</w:t>
      </w:r>
      <w:bookmarkEnd w:id="226"/>
      <w:bookmarkEnd w:id="227"/>
      <w:bookmarkEnd w:id="228"/>
      <w:bookmarkEnd w:id="229"/>
      <w:bookmarkEnd w:id="230"/>
      <w:bookmarkEnd w:id="231"/>
      <w:bookmarkEnd w:id="232"/>
      <w:bookmarkEnd w:id="233"/>
      <w:bookmarkEnd w:id="234"/>
      <w:bookmarkEnd w:id="235"/>
      <w:bookmarkEnd w:id="236"/>
      <w:bookmarkEnd w:id="237"/>
    </w:p>
    <w:p w14:paraId="7D10E1FC">
      <w:pPr>
        <w:rPr>
          <w:rFonts w:hint="eastAsia" w:ascii="Times New Roman" w:hAnsi="Times New Roman" w:eastAsia="宋体" w:cs="Times New Roman"/>
          <w:color w:val="auto"/>
        </w:rPr>
      </w:pPr>
      <w:bookmarkStart w:id="238" w:name="_Toc24402"/>
      <w:bookmarkStart w:id="239" w:name="_Toc11734"/>
      <w:bookmarkStart w:id="240" w:name="_Toc19175"/>
      <w:bookmarkStart w:id="241" w:name="_Toc10183"/>
      <w:bookmarkStart w:id="242" w:name="_Toc100570405"/>
      <w:bookmarkStart w:id="243" w:name="_Toc182903871"/>
      <w:bookmarkStart w:id="244" w:name="_Toc105057937"/>
      <w:bookmarkStart w:id="245" w:name="_Toc175451388"/>
      <w:r>
        <w:rPr>
          <w:rFonts w:hint="eastAsia" w:ascii="Times New Roman" w:hAnsi="Times New Roman" w:eastAsia="宋体" w:cs="Times New Roman"/>
          <w:color w:val="auto"/>
        </w:rPr>
        <w:t>1、气象</w:t>
      </w:r>
    </w:p>
    <w:p w14:paraId="108247B8">
      <w:pPr>
        <w:rPr>
          <w:rFonts w:hint="eastAsia" w:ascii="Times New Roman" w:hAnsi="Times New Roman" w:eastAsia="宋体" w:cs="Times New Roman"/>
          <w:color w:val="auto"/>
        </w:rPr>
      </w:pPr>
      <w:r>
        <w:rPr>
          <w:rFonts w:hint="eastAsia" w:ascii="Times New Roman" w:hAnsi="Times New Roman" w:eastAsia="宋体" w:cs="Times New Roman"/>
          <w:color w:val="auto"/>
        </w:rPr>
        <w:t>元谋地处高原低海拔郁闭地形，属南亚热带干热季风气候，年平均气温21.9度，极端最高温度42度，最低温度零下0.1度。年日照时数2670.4小时，年平均日照时数7.3小时／天，日照百分率60%。山区无霜期305~314天，半山区302～331天，坝区平均霜日2天。年蒸发量为降水量的6.4倍。年平均相对湿度为53%。多东南风，年平均风速2.5</w:t>
      </w:r>
      <w:r>
        <w:rPr>
          <w:rFonts w:hint="eastAsia" w:cs="Times New Roman"/>
          <w:color w:val="auto"/>
          <w:lang w:eastAsia="zh-CN"/>
        </w:rPr>
        <w:t>m</w:t>
      </w:r>
      <w:r>
        <w:rPr>
          <w:rFonts w:hint="eastAsia" w:ascii="Times New Roman" w:hAnsi="Times New Roman" w:eastAsia="宋体" w:cs="Times New Roman"/>
          <w:color w:val="auto"/>
        </w:rPr>
        <w:t>／秒。年平均降雨量613.8</w:t>
      </w:r>
      <w:r>
        <w:rPr>
          <w:rFonts w:hint="eastAsia" w:cs="Times New Roman"/>
          <w:color w:val="auto"/>
          <w:lang w:eastAsia="zh-CN"/>
        </w:rPr>
        <w:t>mm</w:t>
      </w:r>
      <w:r>
        <w:rPr>
          <w:rFonts w:hint="eastAsia" w:ascii="Times New Roman" w:hAnsi="Times New Roman" w:eastAsia="宋体" w:cs="Times New Roman"/>
          <w:color w:val="auto"/>
        </w:rPr>
        <w:t>。最多年906.7</w:t>
      </w:r>
      <w:r>
        <w:rPr>
          <w:rFonts w:hint="eastAsia" w:cs="Times New Roman"/>
          <w:color w:val="auto"/>
          <w:lang w:eastAsia="zh-CN"/>
        </w:rPr>
        <w:t>mm</w:t>
      </w:r>
      <w:r>
        <w:rPr>
          <w:rFonts w:hint="eastAsia" w:ascii="Times New Roman" w:hAnsi="Times New Roman" w:eastAsia="宋体" w:cs="Times New Roman"/>
          <w:color w:val="auto"/>
        </w:rPr>
        <w:t>(1966年)，最少年287.4</w:t>
      </w:r>
      <w:r>
        <w:rPr>
          <w:rFonts w:hint="eastAsia" w:cs="Times New Roman"/>
          <w:color w:val="auto"/>
          <w:lang w:eastAsia="zh-CN"/>
        </w:rPr>
        <w:t>mm</w:t>
      </w:r>
      <w:r>
        <w:rPr>
          <w:rFonts w:hint="eastAsia" w:ascii="Times New Roman" w:hAnsi="Times New Roman" w:eastAsia="宋体" w:cs="Times New Roman"/>
          <w:color w:val="auto"/>
        </w:rPr>
        <w:t>(1960年)。雨季开始一般在5月至10月间。7月降雨最多，平均为137.8</w:t>
      </w:r>
      <w:r>
        <w:rPr>
          <w:rFonts w:hint="eastAsia" w:cs="Times New Roman"/>
          <w:color w:val="auto"/>
          <w:lang w:eastAsia="zh-CN"/>
        </w:rPr>
        <w:t>mm</w:t>
      </w:r>
      <w:r>
        <w:rPr>
          <w:rFonts w:hint="eastAsia" w:ascii="Times New Roman" w:hAnsi="Times New Roman" w:eastAsia="宋体" w:cs="Times New Roman"/>
          <w:color w:val="auto"/>
        </w:rPr>
        <w:t>；1月份最少，为3.1</w:t>
      </w:r>
      <w:r>
        <w:rPr>
          <w:rFonts w:hint="eastAsia" w:cs="Times New Roman"/>
          <w:color w:val="auto"/>
          <w:lang w:eastAsia="zh-CN"/>
        </w:rPr>
        <w:t>mm</w:t>
      </w:r>
      <w:r>
        <w:rPr>
          <w:rFonts w:hint="eastAsia" w:ascii="Times New Roman" w:hAnsi="Times New Roman" w:eastAsia="宋体" w:cs="Times New Roman"/>
          <w:color w:val="auto"/>
        </w:rPr>
        <w:t>。冬春雨少，3～5月不足60.6</w:t>
      </w:r>
      <w:r>
        <w:rPr>
          <w:rFonts w:hint="eastAsia" w:cs="Times New Roman"/>
          <w:color w:val="auto"/>
          <w:lang w:eastAsia="zh-CN"/>
        </w:rPr>
        <w:t>mm</w:t>
      </w:r>
      <w:r>
        <w:rPr>
          <w:rFonts w:hint="eastAsia" w:ascii="Times New Roman" w:hAnsi="Times New Roman" w:eastAsia="宋体" w:cs="Times New Roman"/>
          <w:color w:val="auto"/>
        </w:rPr>
        <w:t>,12～2月不足20</w:t>
      </w:r>
      <w:r>
        <w:rPr>
          <w:rFonts w:hint="eastAsia" w:cs="Times New Roman"/>
          <w:color w:val="auto"/>
          <w:lang w:eastAsia="zh-CN"/>
        </w:rPr>
        <w:t>mm</w:t>
      </w:r>
      <w:r>
        <w:rPr>
          <w:rFonts w:hint="eastAsia" w:ascii="Times New Roman" w:hAnsi="Times New Roman" w:eastAsia="宋体" w:cs="Times New Roman"/>
          <w:color w:val="auto"/>
        </w:rPr>
        <w:t>。由于分山区、半山区、坝区，形成明显的立体气候。</w:t>
      </w:r>
    </w:p>
    <w:p w14:paraId="3004CFD7">
      <w:pPr>
        <w:rPr>
          <w:rFonts w:hint="eastAsia" w:ascii="Times New Roman" w:hAnsi="Times New Roman" w:eastAsia="宋体" w:cs="Times New Roman"/>
          <w:color w:val="auto"/>
        </w:rPr>
      </w:pPr>
      <w:r>
        <w:rPr>
          <w:rFonts w:hint="eastAsia" w:ascii="Times New Roman" w:hAnsi="Times New Roman" w:eastAsia="宋体" w:cs="Times New Roman"/>
          <w:color w:val="auto"/>
        </w:rPr>
        <w:t>2、水文</w:t>
      </w:r>
    </w:p>
    <w:p w14:paraId="061C937F">
      <w:pPr>
        <w:rPr>
          <w:rFonts w:hint="eastAsia" w:ascii="Times New Roman" w:hAnsi="Times New Roman" w:eastAsia="宋体" w:cs="Times New Roman"/>
          <w:color w:val="auto"/>
        </w:rPr>
      </w:pPr>
      <w:r>
        <w:rPr>
          <w:rFonts w:hint="eastAsia" w:ascii="Times New Roman" w:hAnsi="Times New Roman" w:eastAsia="宋体" w:cs="Times New Roman"/>
          <w:color w:val="auto"/>
        </w:rPr>
        <w:t>元谋县境内河流属金沙江水系，常流河15条、季节河23条，过境河流全长376k</w:t>
      </w:r>
      <w:r>
        <w:rPr>
          <w:rFonts w:hint="eastAsia" w:cs="Times New Roman"/>
          <w:color w:val="auto"/>
          <w:lang w:eastAsia="zh-CN"/>
        </w:rPr>
        <w:t>m</w:t>
      </w:r>
      <w:r>
        <w:rPr>
          <w:rFonts w:hint="eastAsia" w:ascii="Times New Roman" w:hAnsi="Times New Roman" w:eastAsia="宋体" w:cs="Times New Roman"/>
          <w:color w:val="auto"/>
        </w:rPr>
        <w:t>，呈树枝状水系。主要河流有金沙江、龙川江。金沙江自西北进入本境，转东北部出境，呈“U”字状，在境长度46.5k</w:t>
      </w:r>
      <w:r>
        <w:rPr>
          <w:rFonts w:hint="eastAsia" w:cs="Times New Roman"/>
          <w:color w:val="auto"/>
          <w:lang w:eastAsia="zh-CN"/>
        </w:rPr>
        <w:t>m</w:t>
      </w:r>
      <w:r>
        <w:rPr>
          <w:rFonts w:hint="eastAsia" w:ascii="Times New Roman" w:hAnsi="Times New Roman" w:eastAsia="宋体" w:cs="Times New Roman"/>
          <w:color w:val="auto"/>
        </w:rPr>
        <w:t>。库区位于金沙江流域，距离金沙江直线距离约10k</w:t>
      </w:r>
      <w:r>
        <w:rPr>
          <w:rFonts w:hint="eastAsia" w:cs="Times New Roman"/>
          <w:color w:val="auto"/>
          <w:lang w:eastAsia="zh-CN"/>
        </w:rPr>
        <w:t>m</w:t>
      </w:r>
      <w:r>
        <w:rPr>
          <w:rFonts w:hint="eastAsia" w:ascii="Times New Roman" w:hAnsi="Times New Roman" w:eastAsia="宋体" w:cs="Times New Roman"/>
          <w:color w:val="auto"/>
        </w:rPr>
        <w:t>。勘察期间经实地走访，周边仅</w:t>
      </w:r>
    </w:p>
    <w:p w14:paraId="1A34F0F5">
      <w:pPr>
        <w:rPr>
          <w:rFonts w:hint="eastAsia" w:ascii="Times New Roman" w:hAnsi="Times New Roman" w:eastAsia="宋体" w:cs="Times New Roman"/>
          <w:color w:val="auto"/>
        </w:rPr>
      </w:pPr>
      <w:r>
        <w:rPr>
          <w:rFonts w:hint="eastAsia" w:ascii="Times New Roman" w:hAnsi="Times New Roman" w:eastAsia="宋体" w:cs="Times New Roman"/>
          <w:color w:val="auto"/>
        </w:rPr>
        <w:t>有零星地表水露头，少数冲沟内还有流水，水量极小，接近干涸，库区地表水来源主要为大气降水，雨季水量大时沿冲沟向流向下游，直接汇入金沙江。附近一定范围内无水塘、沟渠流水等地表水存在，场地内没有横穿地面水系。根据勘察报告，库区汇水面积为0.42k</w:t>
      </w:r>
      <w:r>
        <w:rPr>
          <w:rFonts w:hint="eastAsia" w:cs="Times New Roman"/>
          <w:color w:val="auto"/>
          <w:lang w:eastAsia="zh-CN"/>
        </w:rPr>
        <w:t>m</w:t>
      </w:r>
      <w:r>
        <w:rPr>
          <w:rFonts w:hint="eastAsia" w:ascii="Times New Roman" w:hAnsi="Times New Roman" w:eastAsia="宋体" w:cs="Times New Roman"/>
          <w:color w:val="auto"/>
        </w:rPr>
        <w:t>²,见下图2-2。</w:t>
      </w:r>
    </w:p>
    <w:p w14:paraId="52150000">
      <w:pPr>
        <w:ind w:left="0" w:leftChars="0" w:firstLine="0" w:firstLineChars="0"/>
        <w:jc w:val="center"/>
        <w:rPr>
          <w:rFonts w:hint="eastAsia" w:ascii="Times New Roman" w:hAnsi="Times New Roman" w:eastAsia="宋体" w:cs="Times New Roman"/>
          <w:color w:val="auto"/>
        </w:rPr>
      </w:pPr>
      <w:r>
        <w:drawing>
          <wp:inline distT="0" distB="0" distL="114300" distR="114300">
            <wp:extent cx="5743575" cy="5785485"/>
            <wp:effectExtent l="0" t="0" r="9525" b="5715"/>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r:embed="rId17"/>
                    <a:stretch>
                      <a:fillRect/>
                    </a:stretch>
                  </pic:blipFill>
                  <pic:spPr>
                    <a:xfrm>
                      <a:off x="0" y="0"/>
                      <a:ext cx="5743575" cy="5785485"/>
                    </a:xfrm>
                    <a:prstGeom prst="rect">
                      <a:avLst/>
                    </a:prstGeom>
                    <a:noFill/>
                    <a:ln>
                      <a:noFill/>
                    </a:ln>
                  </pic:spPr>
                </pic:pic>
              </a:graphicData>
            </a:graphic>
          </wp:inline>
        </w:drawing>
      </w:r>
    </w:p>
    <w:p w14:paraId="69CC7C4B">
      <w:pPr>
        <w:ind w:left="0" w:leftChars="0" w:firstLine="0" w:firstLineChars="0"/>
        <w:jc w:val="center"/>
        <w:rPr>
          <w:sz w:val="25"/>
          <w:szCs w:val="25"/>
        </w:rPr>
      </w:pPr>
      <w:r>
        <w:rPr>
          <w:b/>
          <w:bCs/>
          <w:spacing w:val="-5"/>
          <w:sz w:val="25"/>
          <w:szCs w:val="25"/>
        </w:rPr>
        <w:t>图2-2汇水面积图</w:t>
      </w:r>
    </w:p>
    <w:p w14:paraId="09164F84">
      <w:pPr>
        <w:pStyle w:val="5"/>
        <w:outlineLvl w:val="2"/>
        <w:rPr>
          <w:color w:val="auto"/>
        </w:rPr>
      </w:pPr>
      <w:bookmarkStart w:id="246" w:name="_Toc5167"/>
      <w:bookmarkStart w:id="247" w:name="_Toc29036"/>
      <w:r>
        <w:rPr>
          <w:color w:val="auto"/>
        </w:rPr>
        <w:t>地震</w:t>
      </w:r>
      <w:bookmarkEnd w:id="238"/>
      <w:bookmarkEnd w:id="239"/>
      <w:bookmarkEnd w:id="240"/>
      <w:bookmarkEnd w:id="241"/>
      <w:bookmarkEnd w:id="242"/>
      <w:bookmarkEnd w:id="243"/>
      <w:bookmarkEnd w:id="244"/>
      <w:bookmarkEnd w:id="245"/>
      <w:bookmarkEnd w:id="246"/>
      <w:bookmarkEnd w:id="247"/>
    </w:p>
    <w:bookmarkEnd w:id="224"/>
    <w:bookmarkEnd w:id="225"/>
    <w:p w14:paraId="3A09CB81">
      <w:pPr>
        <w:rPr>
          <w:color w:val="auto"/>
        </w:rPr>
      </w:pPr>
      <w:bookmarkStart w:id="248" w:name="_Toc282089827"/>
      <w:bookmarkStart w:id="249" w:name="_Toc184653856"/>
      <w:bookmarkStart w:id="250" w:name="_Toc181545886"/>
      <w:bookmarkStart w:id="251" w:name="_Toc281411420"/>
      <w:bookmarkStart w:id="252" w:name="_Toc4731"/>
      <w:bookmarkStart w:id="253" w:name="_Toc233"/>
      <w:r>
        <w:rPr>
          <w:rFonts w:hint="eastAsia"/>
          <w:color w:val="auto"/>
        </w:rPr>
        <w:t>根据中国地震网统计，自1900年至今。最大地震震级为6.0级，震源深度10k</w:t>
      </w:r>
      <w:r>
        <w:rPr>
          <w:rFonts w:hint="eastAsia"/>
          <w:color w:val="auto"/>
          <w:lang w:eastAsia="zh-CN"/>
        </w:rPr>
        <w:t>m</w:t>
      </w:r>
      <w:r>
        <w:rPr>
          <w:rFonts w:hint="eastAsia"/>
          <w:color w:val="auto"/>
        </w:rPr>
        <w:t>，与库区距离较远。对库区影响较小。</w:t>
      </w:r>
    </w:p>
    <w:bookmarkEnd w:id="248"/>
    <w:bookmarkEnd w:id="249"/>
    <w:bookmarkEnd w:id="250"/>
    <w:bookmarkEnd w:id="251"/>
    <w:p w14:paraId="3BCB1FF9">
      <w:pPr>
        <w:pStyle w:val="4"/>
        <w:outlineLvl w:val="1"/>
        <w:rPr>
          <w:rFonts w:cs="Times New Roman"/>
          <w:color w:val="auto"/>
        </w:rPr>
      </w:pPr>
      <w:bookmarkStart w:id="254" w:name="_Toc100570406"/>
      <w:bookmarkStart w:id="255" w:name="_Toc25988"/>
      <w:bookmarkStart w:id="256" w:name="_Toc105057938"/>
      <w:bookmarkStart w:id="257" w:name="_Toc9849"/>
      <w:bookmarkStart w:id="258" w:name="_Toc26301"/>
      <w:bookmarkStart w:id="259" w:name="_Toc4660"/>
      <w:r>
        <w:rPr>
          <w:rFonts w:cs="Times New Roman"/>
          <w:color w:val="auto"/>
        </w:rPr>
        <w:t>地质概况</w:t>
      </w:r>
      <w:bookmarkEnd w:id="252"/>
      <w:bookmarkEnd w:id="253"/>
      <w:bookmarkEnd w:id="254"/>
      <w:bookmarkEnd w:id="255"/>
      <w:bookmarkEnd w:id="256"/>
      <w:bookmarkEnd w:id="257"/>
      <w:bookmarkEnd w:id="258"/>
      <w:bookmarkEnd w:id="259"/>
    </w:p>
    <w:p w14:paraId="4BE9F6E2">
      <w:pPr>
        <w:rPr>
          <w:color w:val="auto"/>
        </w:rPr>
      </w:pPr>
      <w:r>
        <w:rPr>
          <w:color w:val="auto"/>
        </w:rPr>
        <w:t>地质资料来源于</w:t>
      </w:r>
      <w:r>
        <w:rPr>
          <w:rFonts w:hint="eastAsia" w:ascii="宋体" w:hAnsi="宋体"/>
          <w:color w:val="auto"/>
          <w:sz w:val="28"/>
          <w:szCs w:val="28"/>
          <w:lang w:eastAsia="zh-CN"/>
        </w:rPr>
        <w:t>云南创钧岩土工程有限公司</w:t>
      </w:r>
      <w:r>
        <w:rPr>
          <w:rFonts w:hint="eastAsia" w:ascii="宋体" w:hAnsi="宋体" w:eastAsia="宋体"/>
          <w:color w:val="auto"/>
          <w:sz w:val="28"/>
          <w:szCs w:val="28"/>
        </w:rPr>
        <w:t>20</w:t>
      </w:r>
      <w:r>
        <w:rPr>
          <w:rFonts w:hint="eastAsia" w:ascii="宋体" w:hAnsi="宋体" w:eastAsia="宋体"/>
          <w:color w:val="auto"/>
          <w:sz w:val="28"/>
          <w:szCs w:val="28"/>
          <w:lang w:val="en-US" w:eastAsia="zh-CN"/>
        </w:rPr>
        <w:t>2</w:t>
      </w:r>
      <w:r>
        <w:rPr>
          <w:rFonts w:hint="eastAsia" w:ascii="宋体" w:hAnsi="宋体"/>
          <w:color w:val="auto"/>
          <w:sz w:val="28"/>
          <w:szCs w:val="28"/>
          <w:lang w:val="en-US" w:eastAsia="zh-CN"/>
        </w:rPr>
        <w:t>2</w:t>
      </w:r>
      <w:r>
        <w:rPr>
          <w:rFonts w:hint="eastAsia" w:ascii="宋体" w:hAnsi="宋体" w:eastAsia="宋体"/>
          <w:color w:val="auto"/>
          <w:sz w:val="28"/>
          <w:szCs w:val="28"/>
        </w:rPr>
        <w:t>年</w:t>
      </w:r>
      <w:r>
        <w:rPr>
          <w:rFonts w:hint="eastAsia" w:ascii="宋体" w:hAnsi="宋体"/>
          <w:color w:val="auto"/>
          <w:sz w:val="28"/>
          <w:szCs w:val="28"/>
          <w:lang w:val="en-US" w:eastAsia="zh-CN"/>
        </w:rPr>
        <w:t>9</w:t>
      </w:r>
      <w:r>
        <w:rPr>
          <w:rFonts w:hint="eastAsia" w:ascii="宋体" w:hAnsi="宋体" w:eastAsia="宋体"/>
          <w:color w:val="auto"/>
          <w:sz w:val="28"/>
          <w:szCs w:val="28"/>
        </w:rPr>
        <w:t>月编制的《</w:t>
      </w:r>
      <w:r>
        <w:rPr>
          <w:rFonts w:hint="eastAsia" w:ascii="宋体" w:hAnsi="宋体"/>
          <w:color w:val="auto"/>
          <w:sz w:val="28"/>
          <w:szCs w:val="28"/>
          <w:lang w:val="en-US" w:eastAsia="zh-CN"/>
        </w:rPr>
        <w:t>元谋县大远矿业有限公司红坡铁矿选厂</w:t>
      </w:r>
      <w:r>
        <w:rPr>
          <w:rFonts w:hint="eastAsia" w:ascii="宋体" w:hAnsi="宋体" w:eastAsia="宋体"/>
          <w:color w:val="auto"/>
          <w:sz w:val="28"/>
          <w:szCs w:val="28"/>
        </w:rPr>
        <w:t>尾矿库</w:t>
      </w:r>
      <w:r>
        <w:rPr>
          <w:rFonts w:hint="eastAsia" w:ascii="宋体" w:hAnsi="宋体" w:eastAsia="宋体"/>
          <w:color w:val="auto"/>
          <w:sz w:val="28"/>
          <w:szCs w:val="28"/>
          <w:lang w:val="en-GB" w:eastAsia="zh-CN"/>
        </w:rPr>
        <w:t>闭库项目</w:t>
      </w:r>
      <w:r>
        <w:rPr>
          <w:rFonts w:hint="eastAsia" w:ascii="宋体" w:hAnsi="宋体" w:eastAsia="宋体"/>
          <w:color w:val="auto"/>
          <w:sz w:val="28"/>
          <w:szCs w:val="28"/>
        </w:rPr>
        <w:t>岩土工程勘察报告》</w:t>
      </w:r>
      <w:r>
        <w:rPr>
          <w:color w:val="auto"/>
        </w:rPr>
        <w:t>。</w:t>
      </w:r>
    </w:p>
    <w:p w14:paraId="437BD8FC">
      <w:pPr>
        <w:pStyle w:val="5"/>
        <w:outlineLvl w:val="2"/>
        <w:rPr>
          <w:color w:val="auto"/>
        </w:rPr>
      </w:pPr>
      <w:bookmarkStart w:id="260" w:name="_Toc100570407"/>
      <w:bookmarkStart w:id="261" w:name="_Toc4357"/>
      <w:bookmarkStart w:id="262" w:name="_Toc105057939"/>
      <w:bookmarkStart w:id="263" w:name="_Toc27363"/>
      <w:r>
        <w:rPr>
          <w:color w:val="auto"/>
        </w:rPr>
        <w:t>工程地质条件</w:t>
      </w:r>
      <w:bookmarkEnd w:id="260"/>
      <w:bookmarkEnd w:id="261"/>
      <w:bookmarkEnd w:id="262"/>
      <w:bookmarkEnd w:id="263"/>
    </w:p>
    <w:p w14:paraId="680F4D16">
      <w:pPr>
        <w:rPr>
          <w:rFonts w:ascii="Times New Roman" w:hAnsi="Times New Roman" w:eastAsia="宋体" w:cs="Times New Roman"/>
          <w:color w:val="auto"/>
        </w:rPr>
      </w:pPr>
      <w:bookmarkStart w:id="264" w:name="_Toc100570408"/>
      <w:bookmarkStart w:id="265" w:name="_Toc17015"/>
      <w:bookmarkStart w:id="266" w:name="_Toc105057940"/>
      <w:bookmarkStart w:id="267" w:name="_Toc5704"/>
      <w:r>
        <w:rPr>
          <w:rFonts w:hint="eastAsia" w:ascii="Times New Roman" w:hAnsi="Times New Roman" w:eastAsia="宋体" w:cs="Times New Roman"/>
          <w:color w:val="auto"/>
        </w:rPr>
        <w:t>尾矿库区上层主要为人工堆积的尾粉砂、尾粉土，下部持力层为新生界第四系更新统（Qp）紫红、棕黄色粉质黏土。现将库区各岩土层工程地质特征描述如下：</w:t>
      </w:r>
    </w:p>
    <w:p w14:paraId="7AA39621">
      <w:pPr>
        <w:rPr>
          <w:rFonts w:ascii="Times New Roman" w:hAnsi="Times New Roman" w:eastAsia="宋体" w:cs="Times New Roman"/>
          <w:color w:val="auto"/>
          <w:lang w:val="zh-CN"/>
        </w:rPr>
      </w:pPr>
      <w:r>
        <w:rPr>
          <w:rFonts w:hint="eastAsia" w:ascii="Times New Roman" w:hAnsi="Times New Roman" w:eastAsia="宋体" w:cs="Times New Roman"/>
          <w:color w:val="auto"/>
        </w:rPr>
        <w:t>①尾粉砂（Q4</w:t>
      </w:r>
      <w:r>
        <w:rPr>
          <w:rFonts w:hint="eastAsia" w:cs="Times New Roman"/>
          <w:color w:val="auto"/>
          <w:lang w:eastAsia="zh-CN"/>
        </w:rPr>
        <w:t>m</w:t>
      </w:r>
      <w:r>
        <w:rPr>
          <w:rFonts w:hint="eastAsia" w:ascii="Times New Roman" w:hAnsi="Times New Roman" w:eastAsia="宋体" w:cs="Times New Roman"/>
          <w:color w:val="auto"/>
        </w:rPr>
        <w:t>l）：兰灰、浅灰色，结构松散～稍密，湿。颗粒大小均匀，级配良好，黏粒含量较少，摇震反应稍迅速，浸水易分散</w:t>
      </w:r>
      <w:r>
        <w:rPr>
          <w:rFonts w:hint="eastAsia" w:ascii="Times New Roman" w:hAnsi="Times New Roman" w:eastAsia="宋体" w:cs="Times New Roman"/>
          <w:color w:val="auto"/>
          <w:lang w:val="zh-CN"/>
        </w:rPr>
        <w:t>。分布于堆积坝上的钻孔中，依据原始地形堆积厚度起伏较大，揭露厚度3.0</w:t>
      </w:r>
      <w:r>
        <w:rPr>
          <w:rFonts w:hint="eastAsia" w:ascii="Times New Roman" w:hAnsi="Times New Roman" w:eastAsia="宋体" w:cs="Times New Roman"/>
          <w:color w:val="auto"/>
        </w:rPr>
        <w:t>～28.8</w:t>
      </w:r>
      <w:r>
        <w:rPr>
          <w:rFonts w:hint="eastAsia" w:cs="Times New Roman"/>
          <w:color w:val="auto"/>
          <w:lang w:val="zh-CN"/>
        </w:rPr>
        <w:t>m</w:t>
      </w:r>
      <w:r>
        <w:rPr>
          <w:rFonts w:hint="eastAsia" w:ascii="Times New Roman" w:hAnsi="Times New Roman" w:eastAsia="宋体" w:cs="Times New Roman"/>
          <w:color w:val="auto"/>
        </w:rPr>
        <w:t>。标贯平均统计修正值8.91击。</w:t>
      </w:r>
    </w:p>
    <w:p w14:paraId="10D1E11A">
      <w:pPr>
        <w:rPr>
          <w:rFonts w:ascii="Times New Roman" w:hAnsi="Times New Roman" w:eastAsia="宋体" w:cs="Times New Roman"/>
          <w:color w:val="auto"/>
          <w:lang w:val="zh-CN"/>
        </w:rPr>
      </w:pPr>
      <w:r>
        <w:rPr>
          <w:rFonts w:hint="eastAsia" w:ascii="Times New Roman" w:hAnsi="Times New Roman" w:eastAsia="宋体" w:cs="Times New Roman"/>
          <w:color w:val="auto"/>
        </w:rPr>
        <w:t>①1尾粉土（Q4</w:t>
      </w:r>
      <w:r>
        <w:rPr>
          <w:rFonts w:hint="eastAsia" w:cs="Times New Roman"/>
          <w:color w:val="auto"/>
          <w:lang w:eastAsia="zh-CN"/>
        </w:rPr>
        <w:t>m</w:t>
      </w:r>
      <w:r>
        <w:rPr>
          <w:rFonts w:hint="eastAsia" w:ascii="Times New Roman" w:hAnsi="Times New Roman" w:eastAsia="宋体" w:cs="Times New Roman"/>
          <w:color w:val="auto"/>
        </w:rPr>
        <w:t>l）：</w:t>
      </w:r>
      <w:r>
        <w:rPr>
          <w:rFonts w:hint="eastAsia" w:ascii="Times New Roman" w:hAnsi="Times New Roman" w:eastAsia="宋体" w:cs="Times New Roman"/>
          <w:color w:val="auto"/>
          <w:lang w:val="zh-CN"/>
        </w:rPr>
        <w:t>灰色，孔隙比0.853，中密，含水率24.36%，湿，中压缩性，切面粗糙，光泽差，韧性及干强度中等。颗粒较细，主要分布在尾粉砂下部，局部呈透镜体分布</w:t>
      </w:r>
      <w:r>
        <w:rPr>
          <w:rFonts w:hint="eastAsia" w:ascii="Times New Roman" w:hAnsi="Times New Roman" w:eastAsia="宋体" w:cs="Times New Roman"/>
          <w:color w:val="auto"/>
        </w:rPr>
        <w:t>，层厚1.5～2.4</w:t>
      </w:r>
      <w:r>
        <w:rPr>
          <w:rFonts w:hint="eastAsia" w:cs="Times New Roman"/>
          <w:color w:val="auto"/>
          <w:lang w:eastAsia="zh-CN"/>
        </w:rPr>
        <w:t>m</w:t>
      </w:r>
      <w:r>
        <w:rPr>
          <w:rFonts w:hint="eastAsia" w:ascii="Times New Roman" w:hAnsi="Times New Roman" w:eastAsia="宋体" w:cs="Times New Roman"/>
          <w:color w:val="auto"/>
        </w:rPr>
        <w:t>，平均厚度1.83</w:t>
      </w:r>
      <w:r>
        <w:rPr>
          <w:rFonts w:hint="eastAsia" w:cs="Times New Roman"/>
          <w:color w:val="auto"/>
          <w:lang w:eastAsia="zh-CN"/>
        </w:rPr>
        <w:t>m</w:t>
      </w:r>
      <w:r>
        <w:rPr>
          <w:rFonts w:hint="eastAsia" w:ascii="Times New Roman" w:hAnsi="Times New Roman" w:eastAsia="宋体" w:cs="Times New Roman"/>
          <w:color w:val="auto"/>
        </w:rPr>
        <w:t>。黏粒含量8.98%。</w:t>
      </w:r>
    </w:p>
    <w:p w14:paraId="2AE42299">
      <w:pPr>
        <w:rPr>
          <w:rFonts w:ascii="Times New Roman" w:hAnsi="Times New Roman" w:eastAsia="宋体" w:cs="Times New Roman"/>
          <w:color w:val="auto"/>
        </w:rPr>
      </w:pPr>
      <w:r>
        <w:rPr>
          <w:rFonts w:hint="eastAsia" w:ascii="Times New Roman" w:hAnsi="Times New Roman" w:eastAsia="宋体" w:cs="Times New Roman"/>
          <w:color w:val="auto"/>
        </w:rPr>
        <w:t>①2坝体填筑土（Q4</w:t>
      </w:r>
      <w:r>
        <w:rPr>
          <w:rFonts w:hint="eastAsia" w:cs="Times New Roman"/>
          <w:color w:val="auto"/>
          <w:lang w:eastAsia="zh-CN"/>
        </w:rPr>
        <w:t>m</w:t>
      </w:r>
      <w:r>
        <w:rPr>
          <w:rFonts w:hint="eastAsia" w:ascii="Times New Roman" w:hAnsi="Times New Roman" w:eastAsia="宋体" w:cs="Times New Roman"/>
          <w:color w:val="auto"/>
        </w:rPr>
        <w:t>l）：</w:t>
      </w:r>
      <w:r>
        <w:rPr>
          <w:rFonts w:hint="eastAsia" w:ascii="Times New Roman" w:hAnsi="Times New Roman" w:eastAsia="宋体" w:cs="Times New Roman"/>
          <w:color w:val="auto"/>
          <w:lang w:val="zh-CN"/>
        </w:rPr>
        <w:t>黄褐色，结构稍密，以黏性土为主，土层中含10-20%角砾。主要分布于初期坝体，最大厚度</w:t>
      </w:r>
      <w:r>
        <w:rPr>
          <w:rFonts w:hint="eastAsia" w:ascii="Times New Roman" w:hAnsi="Times New Roman" w:eastAsia="宋体" w:cs="Times New Roman"/>
          <w:color w:val="auto"/>
        </w:rPr>
        <w:t>17.5</w:t>
      </w:r>
      <w:r>
        <w:rPr>
          <w:rFonts w:hint="eastAsia" w:cs="Times New Roman"/>
          <w:color w:val="auto"/>
          <w:lang w:val="zh-CN"/>
        </w:rPr>
        <w:t>m</w:t>
      </w:r>
      <w:r>
        <w:rPr>
          <w:rFonts w:hint="eastAsia" w:ascii="Times New Roman" w:hAnsi="Times New Roman" w:eastAsia="宋体" w:cs="Times New Roman"/>
          <w:color w:val="auto"/>
        </w:rPr>
        <w:t>。</w:t>
      </w:r>
    </w:p>
    <w:p w14:paraId="1E9DC152">
      <w:pPr>
        <w:rPr>
          <w:rFonts w:ascii="Times New Roman" w:hAnsi="Times New Roman" w:eastAsia="宋体" w:cs="Times New Roman"/>
          <w:color w:val="auto"/>
        </w:rPr>
      </w:pPr>
      <w:r>
        <w:rPr>
          <w:rFonts w:hint="eastAsia" w:ascii="Times New Roman" w:hAnsi="Times New Roman" w:eastAsia="宋体" w:cs="Times New Roman"/>
          <w:color w:val="auto"/>
        </w:rPr>
        <w:t>③粉质黏土（Qp）：</w:t>
      </w:r>
      <w:r>
        <w:rPr>
          <w:rFonts w:hint="eastAsia" w:ascii="Times New Roman" w:hAnsi="Times New Roman" w:eastAsia="宋体" w:cs="Times New Roman"/>
          <w:color w:val="auto"/>
          <w:lang w:val="zh-CN"/>
        </w:rPr>
        <w:t>褐黄、褐红色，硬塑状，中压缩性，很湿，土层结构密实，切面粗糙，光泽差，韧性及干强度中等。为坝基及库区的下卧持力层</w:t>
      </w:r>
      <w:r>
        <w:rPr>
          <w:rFonts w:hint="eastAsia" w:ascii="Times New Roman" w:hAnsi="Times New Roman" w:eastAsia="宋体" w:cs="Times New Roman"/>
          <w:color w:val="auto"/>
        </w:rPr>
        <w:t>。库区广泛分布，揭露厚度6.30～22.0</w:t>
      </w:r>
      <w:r>
        <w:rPr>
          <w:rFonts w:hint="eastAsia" w:cs="Times New Roman"/>
          <w:color w:val="auto"/>
          <w:lang w:eastAsia="zh-CN"/>
        </w:rPr>
        <w:t>m</w:t>
      </w:r>
      <w:r>
        <w:rPr>
          <w:rFonts w:hint="eastAsia" w:ascii="Times New Roman" w:hAnsi="Times New Roman" w:eastAsia="宋体" w:cs="Times New Roman"/>
          <w:color w:val="auto"/>
        </w:rPr>
        <w:t>，平均厚度12.42</w:t>
      </w:r>
      <w:r>
        <w:rPr>
          <w:rFonts w:hint="eastAsia" w:cs="Times New Roman"/>
          <w:color w:val="auto"/>
          <w:lang w:eastAsia="zh-CN"/>
        </w:rPr>
        <w:t>m</w:t>
      </w:r>
      <w:r>
        <w:rPr>
          <w:rFonts w:hint="eastAsia" w:ascii="Times New Roman" w:hAnsi="Times New Roman" w:eastAsia="宋体" w:cs="Times New Roman"/>
          <w:color w:val="auto"/>
        </w:rPr>
        <w:t>。标贯平均统计修正值16.7击。</w:t>
      </w:r>
    </w:p>
    <w:p w14:paraId="58769389">
      <w:pPr>
        <w:pStyle w:val="5"/>
        <w:outlineLvl w:val="2"/>
        <w:rPr>
          <w:color w:val="auto"/>
        </w:rPr>
      </w:pPr>
      <w:r>
        <w:rPr>
          <w:color w:val="auto"/>
        </w:rPr>
        <w:t>水文地质条件</w:t>
      </w:r>
      <w:bookmarkEnd w:id="264"/>
      <w:bookmarkEnd w:id="265"/>
      <w:bookmarkEnd w:id="266"/>
      <w:bookmarkEnd w:id="267"/>
    </w:p>
    <w:p w14:paraId="42ED4E88">
      <w:r>
        <w:rPr>
          <w:rFonts w:hint="eastAsia"/>
        </w:rPr>
        <w:t>地下水主要为赋存于尾矿砂中的孔隙水，主要受大气降水及库区上游冲沟汇水补给，并向谷底及地形低凹处迳流排泄。</w:t>
      </w:r>
    </w:p>
    <w:p w14:paraId="0F874C63">
      <w:pPr>
        <w:rPr>
          <w:rFonts w:hint="eastAsia"/>
        </w:rPr>
      </w:pPr>
      <w:r>
        <w:rPr>
          <w:rFonts w:hint="eastAsia"/>
        </w:rPr>
        <w:t>坝址区坝体填筑土为尾矿砂堆成，主要成分为尾粉砂、尾粉土，尾粉砂属强透水层，尾粉土为弱透水层，下覆全风化砂岩-粉质黏土具有微透水性。</w:t>
      </w:r>
    </w:p>
    <w:p w14:paraId="290FC1EB">
      <w:pPr>
        <w:pStyle w:val="25"/>
      </w:pPr>
      <w:r>
        <w:rPr>
          <w:rFonts w:hint="eastAsia"/>
        </w:rPr>
        <w:t>1.地表水</w:t>
      </w:r>
    </w:p>
    <w:p w14:paraId="6FE9AC17">
      <w:pPr>
        <w:pStyle w:val="25"/>
      </w:pPr>
      <w:r>
        <w:rPr>
          <w:rFonts w:hint="eastAsia"/>
        </w:rPr>
        <w:t>库区内仅库尾积水，沿冲沟底部和坝体向下游径流排泄。</w:t>
      </w:r>
    </w:p>
    <w:p w14:paraId="19594ACD">
      <w:pPr>
        <w:pStyle w:val="25"/>
      </w:pPr>
      <w:r>
        <w:rPr>
          <w:rFonts w:hint="eastAsia"/>
        </w:rPr>
        <w:t>2.地下水</w:t>
      </w:r>
    </w:p>
    <w:p w14:paraId="6BFBF9B1">
      <w:pPr>
        <w:pStyle w:val="25"/>
      </w:pPr>
      <w:r>
        <w:rPr>
          <w:rFonts w:hint="eastAsia"/>
        </w:rPr>
        <w:t>钻孔内地下水埋深0～12.5</w:t>
      </w:r>
      <w:r>
        <w:rPr>
          <w:rFonts w:hint="eastAsia"/>
          <w:lang w:eastAsia="zh-CN"/>
        </w:rPr>
        <w:t>m</w:t>
      </w:r>
      <w:r>
        <w:rPr>
          <w:rFonts w:hint="eastAsia"/>
        </w:rPr>
        <w:t>，主要赋存于尾粉砂中，水位较稳定，从库区向下游，水位埋深依次增大，库区内接近地表，与库区水位连通，为主要补给来源，向下游径流排泄，无低邻谷，无贯通性裂隙向两库岸外渗漏</w:t>
      </w:r>
      <w:r>
        <w:rPr>
          <w:rFonts w:hint="eastAsia"/>
          <w:lang w:val="en-GB"/>
        </w:rPr>
        <w:t>。</w:t>
      </w:r>
    </w:p>
    <w:p w14:paraId="37D24F15">
      <w:pPr>
        <w:pStyle w:val="4"/>
        <w:outlineLvl w:val="1"/>
        <w:rPr>
          <w:rFonts w:cs="Times New Roman"/>
          <w:color w:val="auto"/>
        </w:rPr>
      </w:pPr>
      <w:bookmarkStart w:id="268" w:name="_Toc31838"/>
      <w:bookmarkStart w:id="269" w:name="_Toc105057941"/>
      <w:bookmarkStart w:id="270" w:name="_Toc7879"/>
      <w:r>
        <w:rPr>
          <w:rFonts w:hint="eastAsia" w:cs="Times New Roman"/>
          <w:color w:val="auto"/>
          <w:lang w:val="en-US" w:eastAsia="zh-CN"/>
        </w:rPr>
        <w:t>项目</w:t>
      </w:r>
      <w:r>
        <w:rPr>
          <w:rFonts w:cs="Times New Roman"/>
          <w:color w:val="auto"/>
        </w:rPr>
        <w:t>概况</w:t>
      </w:r>
      <w:bookmarkEnd w:id="268"/>
      <w:bookmarkEnd w:id="269"/>
      <w:bookmarkEnd w:id="270"/>
    </w:p>
    <w:p w14:paraId="20C95E95">
      <w:pPr>
        <w:pStyle w:val="5"/>
        <w:outlineLvl w:val="2"/>
        <w:rPr>
          <w:color w:val="auto"/>
        </w:rPr>
      </w:pPr>
      <w:bookmarkStart w:id="271" w:name="_Toc8686"/>
      <w:bookmarkStart w:id="272" w:name="_Toc105057943"/>
      <w:bookmarkStart w:id="273" w:name="_Toc2272"/>
      <w:r>
        <w:rPr>
          <w:color w:val="auto"/>
        </w:rPr>
        <w:t>尾矿库库址</w:t>
      </w:r>
      <w:bookmarkEnd w:id="271"/>
      <w:bookmarkEnd w:id="272"/>
      <w:bookmarkEnd w:id="273"/>
    </w:p>
    <w:p w14:paraId="031BF336">
      <w:pPr>
        <w:rPr>
          <w:rFonts w:hint="eastAsia"/>
          <w:color w:val="auto"/>
        </w:rPr>
      </w:pPr>
      <w:r>
        <w:rPr>
          <w:rFonts w:hint="eastAsia"/>
          <w:color w:val="auto"/>
        </w:rPr>
        <w:t>元谋县大远矿业有限公司红坡铁矿选厂尾矿库位于金沙江北岸元谋县姜驿乡大地村，距县城42k</w:t>
      </w:r>
      <w:r>
        <w:rPr>
          <w:rFonts w:hint="eastAsia"/>
          <w:color w:val="auto"/>
          <w:lang w:eastAsia="zh-CN"/>
        </w:rPr>
        <w:t>m</w:t>
      </w:r>
      <w:r>
        <w:rPr>
          <w:rFonts w:hint="eastAsia"/>
          <w:color w:val="auto"/>
        </w:rPr>
        <w:t>，北与四川省会理县相接壤，自姜驿乡向北有41k</w:t>
      </w:r>
      <w:r>
        <w:rPr>
          <w:rFonts w:hint="eastAsia"/>
          <w:color w:val="auto"/>
          <w:lang w:eastAsia="zh-CN"/>
        </w:rPr>
        <w:t>m</w:t>
      </w:r>
      <w:r>
        <w:rPr>
          <w:rFonts w:hint="eastAsia"/>
          <w:color w:val="auto"/>
        </w:rPr>
        <w:t>的简易公路与川滇公路相接；向北21k</w:t>
      </w:r>
      <w:r>
        <w:rPr>
          <w:rFonts w:hint="eastAsia"/>
          <w:color w:val="auto"/>
          <w:lang w:eastAsia="zh-CN"/>
        </w:rPr>
        <w:t>m</w:t>
      </w:r>
      <w:r>
        <w:rPr>
          <w:rFonts w:hint="eastAsia"/>
          <w:color w:val="auto"/>
        </w:rPr>
        <w:t>的乡村公路通达金沙江边，并与成昆铁路隔江相望。矿区距姜驿乡政府所在地仅1.5k</w:t>
      </w:r>
      <w:r>
        <w:rPr>
          <w:rFonts w:hint="eastAsia"/>
          <w:color w:val="auto"/>
          <w:lang w:eastAsia="zh-CN"/>
        </w:rPr>
        <w:t>m</w:t>
      </w:r>
      <w:r>
        <w:rPr>
          <w:rFonts w:hint="eastAsia"/>
          <w:color w:val="auto"/>
        </w:rPr>
        <w:t>，有简易公路与乡村公路相连，交通较为便利。库区地理位置：东经101°54′45″，北纬26°04′44″。</w:t>
      </w:r>
    </w:p>
    <w:p w14:paraId="0F985AE6">
      <w:pPr>
        <w:pStyle w:val="5"/>
        <w:outlineLvl w:val="2"/>
        <w:rPr>
          <w:color w:val="auto"/>
        </w:rPr>
      </w:pPr>
      <w:bookmarkStart w:id="274" w:name="_Toc5348"/>
      <w:bookmarkStart w:id="275" w:name="_Toc15737"/>
      <w:r>
        <w:rPr>
          <w:rFonts w:hint="eastAsia"/>
          <w:color w:val="auto"/>
        </w:rPr>
        <w:t>周边环境</w:t>
      </w:r>
      <w:bookmarkEnd w:id="274"/>
      <w:bookmarkEnd w:id="275"/>
    </w:p>
    <w:p w14:paraId="76AE77C9">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选矿厂位于库区西南岸坡上，选厂生产的尾矿经尾矿输送管排入库内。库区东北、西南两面均为坡地地形，坡度较为平缓，一般在15°～25°左右。库尾（西北面）斜坡总体坡度约20°，库尾与坝址区高差约25</w:t>
      </w:r>
      <w:r>
        <w:rPr>
          <w:rFonts w:hint="eastAsia" w:cs="Times New Roman"/>
          <w:color w:val="auto"/>
          <w:lang w:val="en-US" w:eastAsia="zh-CN"/>
        </w:rPr>
        <w:t>m</w:t>
      </w:r>
      <w:r>
        <w:rPr>
          <w:rFonts w:hint="eastAsia" w:ascii="Times New Roman" w:hAnsi="Times New Roman" w:eastAsia="宋体" w:cs="Times New Roman"/>
          <w:color w:val="auto"/>
          <w:lang w:val="en-US" w:eastAsia="zh-CN"/>
        </w:rPr>
        <w:t>，整个库区三面密闭，坝址区下游东南方向为姜驿大村居民居住区，距尾矿库直线距离约1.2k</w:t>
      </w:r>
      <w:r>
        <w:rPr>
          <w:rFonts w:hint="eastAsia" w:cs="Times New Roman"/>
          <w:color w:val="auto"/>
          <w:lang w:val="en-US" w:eastAsia="zh-CN"/>
        </w:rPr>
        <w:t>m</w:t>
      </w:r>
      <w:r>
        <w:rPr>
          <w:rFonts w:hint="eastAsia" w:ascii="Times New Roman" w:hAnsi="Times New Roman" w:eastAsia="宋体" w:cs="Times New Roman"/>
          <w:color w:val="auto"/>
          <w:lang w:val="en-US" w:eastAsia="zh-CN"/>
        </w:rPr>
        <w:t>，居民地地理位置高出谷底约40</w:t>
      </w:r>
      <w:r>
        <w:rPr>
          <w:rFonts w:hint="eastAsia" w:cs="Times New Roman"/>
          <w:color w:val="auto"/>
          <w:lang w:val="en-US" w:eastAsia="zh-CN"/>
        </w:rPr>
        <w:t>m</w:t>
      </w:r>
      <w:r>
        <w:rPr>
          <w:rFonts w:hint="eastAsia" w:ascii="Times New Roman" w:hAnsi="Times New Roman" w:eastAsia="宋体" w:cs="Times New Roman"/>
          <w:color w:val="auto"/>
          <w:lang w:val="en-US" w:eastAsia="zh-CN"/>
        </w:rPr>
        <w:t>，尾矿库对其无影响。</w:t>
      </w:r>
    </w:p>
    <w:p w14:paraId="5D474739">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由此可见，库区及周边环境比较单一，在自然条件下无坍塌、滑坡、泥石流等不良地质灾害发生，企业在尾矿库施工及运行期间应尽量减少对周边环境的破坏，同时应按设计要求进行施工，确保施工质量，避免溃坝和防止矿浆跑、冒、滴、漏等事故的发生，在尾矿库运行期间加强库区及周边的监测，发现问题及时处理，总体来说库区与周边环境的相互影响关系较小。</w:t>
      </w:r>
    </w:p>
    <w:p w14:paraId="2F7AD620">
      <w:pPr>
        <w:pStyle w:val="25"/>
        <w:ind w:left="0" w:leftChars="0" w:firstLine="0" w:firstLineChars="0"/>
        <w:jc w:val="center"/>
      </w:pPr>
      <w:r>
        <w:rPr>
          <w:color w:val="000000" w:themeColor="text1"/>
          <w14:textFill>
            <w14:solidFill>
              <w14:schemeClr w14:val="tx1"/>
            </w14:solidFill>
          </w14:textFill>
        </w:rPr>
        <w:drawing>
          <wp:inline distT="0" distB="0" distL="114300" distR="114300">
            <wp:extent cx="5612765" cy="3856355"/>
            <wp:effectExtent l="0" t="0" r="635" b="4445"/>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r:embed="rId18"/>
                    <a:stretch>
                      <a:fillRect/>
                    </a:stretch>
                  </pic:blipFill>
                  <pic:spPr>
                    <a:xfrm>
                      <a:off x="0" y="0"/>
                      <a:ext cx="5612765" cy="3856355"/>
                    </a:xfrm>
                    <a:prstGeom prst="rect">
                      <a:avLst/>
                    </a:prstGeom>
                    <a:noFill/>
                    <a:ln>
                      <a:noFill/>
                    </a:ln>
                  </pic:spPr>
                </pic:pic>
              </a:graphicData>
            </a:graphic>
          </wp:inline>
        </w:drawing>
      </w:r>
    </w:p>
    <w:p w14:paraId="451B0C4E">
      <w:pPr>
        <w:pStyle w:val="18"/>
        <w:rPr>
          <w:rFonts w:cs="Times New Roman"/>
          <w:color w:val="auto"/>
        </w:rPr>
      </w:pPr>
      <w:r>
        <w:rPr>
          <w:rFonts w:cs="Times New Roman"/>
          <w:color w:val="auto"/>
        </w:rPr>
        <w:t>图</w:t>
      </w:r>
      <w:r>
        <w:rPr>
          <w:rFonts w:cs="Times New Roman"/>
          <w:color w:val="auto"/>
        </w:rPr>
        <w:fldChar w:fldCharType="begin"/>
      </w:r>
      <w:r>
        <w:rPr>
          <w:rFonts w:cs="Times New Roman"/>
          <w:color w:val="auto"/>
        </w:rPr>
        <w:instrText xml:space="preserve"> STYLEREF 1 \s </w:instrText>
      </w:r>
      <w:r>
        <w:rPr>
          <w:rFonts w:cs="Times New Roman"/>
          <w:color w:val="auto"/>
        </w:rPr>
        <w:fldChar w:fldCharType="separate"/>
      </w:r>
      <w:r>
        <w:rPr>
          <w:rFonts w:cs="Times New Roman"/>
          <w:color w:val="auto"/>
        </w:rPr>
        <w:t>2</w:t>
      </w:r>
      <w:r>
        <w:rPr>
          <w:rFonts w:cs="Times New Roman"/>
          <w:color w:val="auto"/>
        </w:rPr>
        <w:fldChar w:fldCharType="end"/>
      </w:r>
      <w:r>
        <w:rPr>
          <w:rFonts w:cs="Times New Roman"/>
          <w:color w:val="auto"/>
        </w:rPr>
        <w:noBreakHyphen/>
      </w:r>
      <w:r>
        <w:rPr>
          <w:rFonts w:cs="Times New Roman"/>
          <w:color w:val="auto"/>
        </w:rPr>
        <w:fldChar w:fldCharType="begin"/>
      </w:r>
      <w:r>
        <w:rPr>
          <w:rFonts w:cs="Times New Roman"/>
          <w:color w:val="auto"/>
        </w:rPr>
        <w:instrText xml:space="preserve"> SEQ 图 \* ARABIC \s 1 </w:instrText>
      </w:r>
      <w:r>
        <w:rPr>
          <w:rFonts w:cs="Times New Roman"/>
          <w:color w:val="auto"/>
        </w:rPr>
        <w:fldChar w:fldCharType="separate"/>
      </w:r>
      <w:r>
        <w:rPr>
          <w:rFonts w:cs="Times New Roman"/>
          <w:color w:val="auto"/>
        </w:rPr>
        <w:t>2</w:t>
      </w:r>
      <w:r>
        <w:rPr>
          <w:rFonts w:cs="Times New Roman"/>
          <w:color w:val="auto"/>
        </w:rPr>
        <w:fldChar w:fldCharType="end"/>
      </w:r>
      <w:r>
        <w:rPr>
          <w:rFonts w:cs="Times New Roman"/>
          <w:color w:val="auto"/>
        </w:rPr>
        <w:t>库区周边环境图</w:t>
      </w:r>
    </w:p>
    <w:tbl>
      <w:tblPr>
        <w:tblStyle w:val="58"/>
        <w:tblW w:w="0" w:type="auto"/>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7"/>
        <w:gridCol w:w="4489"/>
      </w:tblGrid>
      <w:tr w14:paraId="0CD78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1" w:hRule="atLeast"/>
        </w:trPr>
        <w:tc>
          <w:tcPr>
            <w:tcW w:w="4467" w:type="dxa"/>
            <w:vAlign w:val="center"/>
          </w:tcPr>
          <w:p w14:paraId="073356A1">
            <w:pPr>
              <w:pStyle w:val="290"/>
              <w:keepNext/>
              <w:spacing w:line="240" w:lineRule="auto"/>
              <w:jc w:val="center"/>
              <w:rPr>
                <w:rFonts w:hint="eastAsia" w:eastAsia="宋体"/>
                <w:color w:val="auto"/>
                <w:vertAlign w:val="baseline"/>
                <w:lang w:eastAsia="zh-CN"/>
              </w:rPr>
            </w:pPr>
            <w:r>
              <w:rPr>
                <w:rFonts w:hint="eastAsia" w:eastAsia="宋体"/>
                <w:color w:val="auto"/>
                <w:vertAlign w:val="baseline"/>
                <w:lang w:eastAsia="zh-CN"/>
              </w:rPr>
              <w:drawing>
                <wp:inline distT="0" distB="0" distL="114300" distR="114300">
                  <wp:extent cx="2747645" cy="2021840"/>
                  <wp:effectExtent l="0" t="0" r="8255" b="10160"/>
                  <wp:docPr id="11" name="图片 11" descr="d3752ec52d7ddeb34ec883a5caba1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3752ec52d7ddeb34ec883a5caba1cc"/>
                          <pic:cNvPicPr>
                            <a:picLocks noChangeAspect="1"/>
                          </pic:cNvPicPr>
                        </pic:nvPicPr>
                        <pic:blipFill>
                          <a:blip r:embed="rId19"/>
                          <a:srcRect l="6758" r="16753"/>
                          <a:stretch>
                            <a:fillRect/>
                          </a:stretch>
                        </pic:blipFill>
                        <pic:spPr>
                          <a:xfrm>
                            <a:off x="0" y="0"/>
                            <a:ext cx="2747645" cy="2021840"/>
                          </a:xfrm>
                          <a:prstGeom prst="rect">
                            <a:avLst/>
                          </a:prstGeom>
                        </pic:spPr>
                      </pic:pic>
                    </a:graphicData>
                  </a:graphic>
                </wp:inline>
              </w:drawing>
            </w:r>
          </w:p>
        </w:tc>
        <w:tc>
          <w:tcPr>
            <w:tcW w:w="4489" w:type="dxa"/>
            <w:vAlign w:val="center"/>
          </w:tcPr>
          <w:p w14:paraId="647EB7FF">
            <w:pPr>
              <w:pStyle w:val="290"/>
              <w:keepNext/>
              <w:spacing w:line="240" w:lineRule="auto"/>
              <w:jc w:val="center"/>
              <w:rPr>
                <w:rFonts w:hint="eastAsia" w:eastAsia="宋体"/>
                <w:color w:val="auto"/>
                <w:vertAlign w:val="baseline"/>
                <w:lang w:eastAsia="zh-CN"/>
              </w:rPr>
            </w:pPr>
            <w:r>
              <w:rPr>
                <w:rFonts w:hint="eastAsia" w:eastAsia="宋体"/>
                <w:color w:val="auto"/>
                <w:vertAlign w:val="baseline"/>
                <w:lang w:eastAsia="zh-CN"/>
              </w:rPr>
              <w:drawing>
                <wp:inline distT="0" distB="0" distL="114300" distR="114300">
                  <wp:extent cx="2708275" cy="2032000"/>
                  <wp:effectExtent l="0" t="0" r="9525" b="0"/>
                  <wp:docPr id="13" name="图片 13" descr="3917bd4a8215370559b94e754ec7f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917bd4a8215370559b94e754ec7fb7"/>
                          <pic:cNvPicPr>
                            <a:picLocks noChangeAspect="1"/>
                          </pic:cNvPicPr>
                        </pic:nvPicPr>
                        <pic:blipFill>
                          <a:blip r:embed="rId20"/>
                          <a:stretch>
                            <a:fillRect/>
                          </a:stretch>
                        </pic:blipFill>
                        <pic:spPr>
                          <a:xfrm>
                            <a:off x="0" y="0"/>
                            <a:ext cx="2708275" cy="2032000"/>
                          </a:xfrm>
                          <a:prstGeom prst="rect">
                            <a:avLst/>
                          </a:prstGeom>
                        </pic:spPr>
                      </pic:pic>
                    </a:graphicData>
                  </a:graphic>
                </wp:inline>
              </w:drawing>
            </w:r>
          </w:p>
        </w:tc>
      </w:tr>
      <w:tr w14:paraId="29CFF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4467" w:type="dxa"/>
            <w:vAlign w:val="center"/>
          </w:tcPr>
          <w:p w14:paraId="25968658">
            <w:pPr>
              <w:pStyle w:val="290"/>
              <w:keepNext/>
              <w:spacing w:line="240" w:lineRule="auto"/>
              <w:jc w:val="center"/>
              <w:rPr>
                <w:rFonts w:hint="default" w:eastAsia="宋体"/>
                <w:color w:val="auto"/>
                <w:vertAlign w:val="baseline"/>
                <w:lang w:val="en-US" w:eastAsia="zh-CN"/>
              </w:rPr>
            </w:pPr>
            <w:r>
              <w:rPr>
                <w:rFonts w:hint="eastAsia"/>
                <w:color w:val="auto"/>
                <w:vertAlign w:val="baseline"/>
                <w:lang w:val="en-US" w:eastAsia="zh-CN"/>
              </w:rPr>
              <w:t>评价师：李毅雄（右）</w:t>
            </w:r>
          </w:p>
        </w:tc>
        <w:tc>
          <w:tcPr>
            <w:tcW w:w="4489" w:type="dxa"/>
            <w:vAlign w:val="center"/>
          </w:tcPr>
          <w:p w14:paraId="501E404C">
            <w:pPr>
              <w:pStyle w:val="290"/>
              <w:keepNext/>
              <w:spacing w:line="240" w:lineRule="auto"/>
              <w:jc w:val="center"/>
              <w:rPr>
                <w:rFonts w:hint="eastAsia" w:eastAsia="宋体"/>
                <w:color w:val="auto"/>
                <w:vertAlign w:val="baseline"/>
                <w:lang w:val="en-US" w:eastAsia="zh-CN"/>
              </w:rPr>
            </w:pPr>
            <w:r>
              <w:rPr>
                <w:rFonts w:hint="eastAsia"/>
                <w:color w:val="auto"/>
                <w:vertAlign w:val="baseline"/>
                <w:lang w:val="en-US" w:eastAsia="zh-CN"/>
              </w:rPr>
              <w:t>评价师：李晓达</w:t>
            </w:r>
          </w:p>
        </w:tc>
      </w:tr>
    </w:tbl>
    <w:p w14:paraId="183CBB3E">
      <w:pPr>
        <w:pStyle w:val="18"/>
        <w:rPr>
          <w:color w:val="auto"/>
        </w:rPr>
      </w:pPr>
      <w:r>
        <w:rPr>
          <w:rFonts w:hint="eastAsia"/>
          <w:color w:val="auto"/>
        </w:rPr>
        <w:t>图</w:t>
      </w:r>
      <w:r>
        <w:rPr>
          <w:color w:val="auto"/>
        </w:rPr>
        <w:fldChar w:fldCharType="begin"/>
      </w:r>
      <w:r>
        <w:rPr>
          <w:color w:val="auto"/>
        </w:rPr>
        <w:instrText xml:space="preserve"> </w:instrText>
      </w:r>
      <w:r>
        <w:rPr>
          <w:rFonts w:hint="eastAsia"/>
          <w:color w:val="auto"/>
        </w:rPr>
        <w:instrText xml:space="preserve">STYLEREF 1 \s</w:instrText>
      </w:r>
      <w:r>
        <w:rPr>
          <w:color w:val="auto"/>
        </w:rPr>
        <w:instrText xml:space="preserve"> </w:instrText>
      </w:r>
      <w:r>
        <w:rPr>
          <w:color w:val="auto"/>
        </w:rPr>
        <w:fldChar w:fldCharType="separate"/>
      </w:r>
      <w:r>
        <w:rPr>
          <w:color w:val="auto"/>
        </w:rPr>
        <w:t>2</w:t>
      </w:r>
      <w:r>
        <w:rPr>
          <w:color w:val="auto"/>
        </w:rPr>
        <w:fldChar w:fldCharType="end"/>
      </w:r>
      <w:r>
        <w:rPr>
          <w:color w:val="auto"/>
        </w:rPr>
        <w:noBreakHyphen/>
      </w:r>
      <w:r>
        <w:rPr>
          <w:color w:val="auto"/>
        </w:rPr>
        <w:fldChar w:fldCharType="begin"/>
      </w:r>
      <w:r>
        <w:rPr>
          <w:color w:val="auto"/>
        </w:rPr>
        <w:instrText xml:space="preserve"> </w:instrText>
      </w:r>
      <w:r>
        <w:rPr>
          <w:rFonts w:hint="eastAsia"/>
          <w:color w:val="auto"/>
        </w:rPr>
        <w:instrText xml:space="preserve">SEQ 图 \* ARABIC \s 1</w:instrText>
      </w:r>
      <w:r>
        <w:rPr>
          <w:color w:val="auto"/>
        </w:rPr>
        <w:instrText xml:space="preserve"> </w:instrText>
      </w:r>
      <w:r>
        <w:rPr>
          <w:color w:val="auto"/>
        </w:rPr>
        <w:fldChar w:fldCharType="separate"/>
      </w:r>
      <w:r>
        <w:rPr>
          <w:color w:val="auto"/>
        </w:rPr>
        <w:t>3</w:t>
      </w:r>
      <w:r>
        <w:rPr>
          <w:color w:val="auto"/>
        </w:rPr>
        <w:fldChar w:fldCharType="end"/>
      </w:r>
      <w:r>
        <w:rPr>
          <w:rFonts w:hint="eastAsia"/>
          <w:color w:val="auto"/>
        </w:rPr>
        <w:t>评价师现场勘验照片</w:t>
      </w:r>
    </w:p>
    <w:p w14:paraId="467C3D16">
      <w:pPr>
        <w:pStyle w:val="5"/>
        <w:outlineLvl w:val="2"/>
        <w:rPr>
          <w:color w:val="auto"/>
        </w:rPr>
      </w:pPr>
      <w:bookmarkStart w:id="276" w:name="_Toc19219"/>
      <w:bookmarkStart w:id="277" w:name="_Toc105057944"/>
      <w:bookmarkStart w:id="278" w:name="_Toc31645"/>
      <w:r>
        <w:rPr>
          <w:color w:val="auto"/>
        </w:rPr>
        <w:t>库容、等别及建设标准</w:t>
      </w:r>
      <w:bookmarkEnd w:id="276"/>
      <w:bookmarkEnd w:id="277"/>
      <w:bookmarkEnd w:id="278"/>
    </w:p>
    <w:p w14:paraId="0AC0A69B">
      <w:pPr>
        <w:rPr>
          <w:rFonts w:hint="eastAsia"/>
          <w:color w:val="auto"/>
          <w:lang w:val="en-US" w:eastAsia="zh-CN"/>
        </w:rPr>
      </w:pPr>
      <w:r>
        <w:rPr>
          <w:rFonts w:hint="eastAsia"/>
          <w:color w:val="auto"/>
          <w:lang w:val="en-US" w:eastAsia="zh-CN"/>
        </w:rPr>
        <w:t>尾矿库设计总库容</w:t>
      </w:r>
      <w:r>
        <w:rPr>
          <w:rFonts w:hint="eastAsia" w:eastAsiaTheme="minorEastAsia"/>
          <w:color w:val="auto"/>
          <w:sz w:val="28"/>
          <w:szCs w:val="28"/>
        </w:rPr>
        <w:t>约</w:t>
      </w:r>
      <w:r>
        <w:rPr>
          <w:rFonts w:hint="eastAsia" w:eastAsiaTheme="minorEastAsia"/>
          <w:color w:val="auto"/>
          <w:sz w:val="28"/>
          <w:szCs w:val="28"/>
          <w:lang w:val="en-US" w:eastAsia="zh-CN"/>
        </w:rPr>
        <w:t>83</w:t>
      </w:r>
      <w:r>
        <w:rPr>
          <w:rFonts w:hint="eastAsia" w:eastAsiaTheme="minorEastAsia"/>
          <w:color w:val="auto"/>
          <w:sz w:val="28"/>
          <w:szCs w:val="28"/>
        </w:rPr>
        <w:t>万</w:t>
      </w:r>
      <w:r>
        <w:rPr>
          <w:rFonts w:hint="eastAsia" w:eastAsiaTheme="minorEastAsia"/>
          <w:color w:val="auto"/>
          <w:sz w:val="28"/>
          <w:szCs w:val="28"/>
          <w:vertAlign w:val="baseline"/>
          <w:lang w:eastAsia="zh-CN"/>
        </w:rPr>
        <w:t>m</w:t>
      </w:r>
      <w:r>
        <w:rPr>
          <w:rFonts w:hint="eastAsia" w:eastAsiaTheme="minorEastAsia"/>
          <w:color w:val="auto"/>
          <w:sz w:val="28"/>
          <w:szCs w:val="28"/>
          <w:vertAlign w:val="superscript"/>
          <w:lang w:eastAsia="zh-CN"/>
        </w:rPr>
        <w:t>3</w:t>
      </w:r>
      <w:r>
        <w:rPr>
          <w:rFonts w:hint="eastAsia"/>
          <w:color w:val="auto"/>
          <w:lang w:val="en-US" w:eastAsia="zh-CN"/>
        </w:rPr>
        <w:t>，为四等库，设计标高1890m，总坝高39m，采用正常闭库。</w:t>
      </w:r>
    </w:p>
    <w:p w14:paraId="23967636">
      <w:pPr>
        <w:pStyle w:val="4"/>
        <w:outlineLvl w:val="1"/>
        <w:rPr>
          <w:rFonts w:hint="default" w:cs="Times New Roman"/>
          <w:color w:val="auto"/>
          <w:lang w:val="en-US" w:eastAsia="zh-CN"/>
        </w:rPr>
      </w:pPr>
      <w:bookmarkStart w:id="279" w:name="_Toc10773"/>
      <w:bookmarkStart w:id="280" w:name="_Toc12997"/>
      <w:bookmarkStart w:id="281" w:name="_Toc105057945"/>
      <w:r>
        <w:rPr>
          <w:rFonts w:hint="eastAsia" w:cs="Times New Roman"/>
          <w:color w:val="auto"/>
          <w:lang w:val="en-US" w:eastAsia="zh-CN"/>
        </w:rPr>
        <w:t>闭库工程建设概况</w:t>
      </w:r>
      <w:bookmarkEnd w:id="279"/>
      <w:bookmarkEnd w:id="280"/>
    </w:p>
    <w:p w14:paraId="6C6B08B5">
      <w:pPr>
        <w:pStyle w:val="5"/>
        <w:outlineLvl w:val="2"/>
        <w:rPr>
          <w:color w:val="auto"/>
        </w:rPr>
      </w:pPr>
      <w:bookmarkStart w:id="282" w:name="_Toc30365"/>
      <w:bookmarkStart w:id="283" w:name="_Toc11761"/>
      <w:r>
        <w:rPr>
          <w:color w:val="auto"/>
        </w:rPr>
        <w:t>尾矿坝</w:t>
      </w:r>
      <w:bookmarkEnd w:id="281"/>
      <w:bookmarkEnd w:id="282"/>
      <w:bookmarkEnd w:id="283"/>
    </w:p>
    <w:p w14:paraId="34808AE9">
      <w:pPr>
        <w:pStyle w:val="6"/>
        <w:outlineLvl w:val="3"/>
        <w:rPr>
          <w:color w:val="auto"/>
        </w:rPr>
      </w:pPr>
      <w:r>
        <w:rPr>
          <w:color w:val="auto"/>
        </w:rPr>
        <w:t>初期坝</w:t>
      </w:r>
    </w:p>
    <w:p w14:paraId="6A86F88F">
      <w:pPr>
        <w:spacing w:line="360" w:lineRule="auto"/>
        <w:ind w:firstLine="562" w:firstLineChars="200"/>
        <w:rPr>
          <w:rFonts w:hint="eastAsia"/>
          <w:b/>
          <w:bCs/>
          <w:color w:val="auto"/>
          <w:sz w:val="28"/>
          <w:szCs w:val="28"/>
          <w:lang w:val="en-US" w:eastAsia="zh-CN"/>
        </w:rPr>
      </w:pPr>
      <w:r>
        <w:rPr>
          <w:rFonts w:hint="eastAsia"/>
          <w:b/>
          <w:bCs/>
          <w:color w:val="auto"/>
          <w:sz w:val="28"/>
          <w:szCs w:val="28"/>
          <w:lang w:val="en-US" w:eastAsia="zh-CN"/>
        </w:rPr>
        <w:t>1、设计情况</w:t>
      </w:r>
    </w:p>
    <w:p w14:paraId="4D58B3A5">
      <w:pPr>
        <w:spacing w:line="360" w:lineRule="auto"/>
        <w:ind w:firstLine="560" w:firstLineChars="200"/>
        <w:rPr>
          <w:rFonts w:hint="eastAsia"/>
          <w:color w:val="auto"/>
          <w:sz w:val="28"/>
          <w:szCs w:val="28"/>
        </w:rPr>
      </w:pPr>
      <w:r>
        <w:rPr>
          <w:rFonts w:hint="eastAsia"/>
          <w:color w:val="auto"/>
          <w:sz w:val="28"/>
          <w:szCs w:val="28"/>
        </w:rPr>
        <w:t>初期坝为碾压土坝，初期坝坝高约17.5</w:t>
      </w:r>
      <w:r>
        <w:rPr>
          <w:rFonts w:hint="eastAsia"/>
          <w:color w:val="auto"/>
          <w:sz w:val="28"/>
          <w:szCs w:val="28"/>
          <w:lang w:eastAsia="zh-CN"/>
        </w:rPr>
        <w:t>m</w:t>
      </w:r>
      <w:r>
        <w:rPr>
          <w:rFonts w:hint="eastAsia"/>
          <w:color w:val="auto"/>
          <w:sz w:val="28"/>
          <w:szCs w:val="28"/>
        </w:rPr>
        <w:t>，坝顶标高为1890.0</w:t>
      </w:r>
      <w:r>
        <w:rPr>
          <w:rFonts w:hint="eastAsia"/>
          <w:color w:val="auto"/>
          <w:sz w:val="28"/>
          <w:szCs w:val="28"/>
          <w:lang w:eastAsia="zh-CN"/>
        </w:rPr>
        <w:t>m</w:t>
      </w:r>
      <w:r>
        <w:rPr>
          <w:rFonts w:hint="eastAsia"/>
          <w:color w:val="auto"/>
          <w:sz w:val="28"/>
          <w:szCs w:val="28"/>
        </w:rPr>
        <w:t>，坝顶宽3.5</w:t>
      </w:r>
      <w:r>
        <w:rPr>
          <w:rFonts w:hint="eastAsia"/>
          <w:color w:val="auto"/>
          <w:sz w:val="28"/>
          <w:szCs w:val="28"/>
          <w:lang w:eastAsia="zh-CN"/>
        </w:rPr>
        <w:t>m</w:t>
      </w:r>
      <w:r>
        <w:rPr>
          <w:rFonts w:hint="eastAsia"/>
          <w:color w:val="auto"/>
          <w:sz w:val="28"/>
          <w:szCs w:val="28"/>
        </w:rPr>
        <w:t>，外坡比1:2.2，内坡比1:2.0。由于尾矿库库尾有积水，渗水从初期坝坝脚渗出，且初期坝脚下游约40</w:t>
      </w:r>
      <w:r>
        <w:rPr>
          <w:rFonts w:hint="eastAsia"/>
          <w:color w:val="auto"/>
          <w:sz w:val="28"/>
          <w:szCs w:val="28"/>
          <w:lang w:eastAsia="zh-CN"/>
        </w:rPr>
        <w:t>m</w:t>
      </w:r>
      <w:r>
        <w:rPr>
          <w:rFonts w:hint="eastAsia"/>
          <w:color w:val="auto"/>
          <w:sz w:val="28"/>
          <w:szCs w:val="28"/>
        </w:rPr>
        <w:t>处有村民修筑的土坝挡水坝（约2.5</w:t>
      </w:r>
      <w:r>
        <w:rPr>
          <w:rFonts w:hint="eastAsia"/>
          <w:color w:val="auto"/>
          <w:sz w:val="28"/>
          <w:szCs w:val="28"/>
          <w:lang w:eastAsia="zh-CN"/>
        </w:rPr>
        <w:t>m</w:t>
      </w:r>
      <w:r>
        <w:rPr>
          <w:rFonts w:hint="eastAsia"/>
          <w:color w:val="auto"/>
          <w:sz w:val="28"/>
          <w:szCs w:val="28"/>
        </w:rPr>
        <w:t>高）用于灌溉，水位较高时会反浸初期坝脚，设计采用毛石对初期坝脚进行护脚，护脚从初期坝坝脚向下游延伸20</w:t>
      </w:r>
      <w:r>
        <w:rPr>
          <w:rFonts w:hint="eastAsia"/>
          <w:color w:val="auto"/>
          <w:sz w:val="28"/>
          <w:szCs w:val="28"/>
          <w:lang w:eastAsia="zh-CN"/>
        </w:rPr>
        <w:t>m</w:t>
      </w:r>
      <w:r>
        <w:rPr>
          <w:rFonts w:hint="eastAsia"/>
          <w:color w:val="auto"/>
          <w:sz w:val="28"/>
          <w:szCs w:val="28"/>
        </w:rPr>
        <w:t>，护脚厚2</w:t>
      </w:r>
      <w:r>
        <w:rPr>
          <w:rFonts w:hint="eastAsia"/>
          <w:color w:val="auto"/>
          <w:sz w:val="28"/>
          <w:szCs w:val="28"/>
          <w:lang w:eastAsia="zh-CN"/>
        </w:rPr>
        <w:t>m</w:t>
      </w:r>
      <w:r>
        <w:rPr>
          <w:rFonts w:hint="eastAsia"/>
          <w:color w:val="auto"/>
          <w:sz w:val="28"/>
          <w:szCs w:val="28"/>
        </w:rPr>
        <w:t>，需毛石约1000</w:t>
      </w:r>
      <w:r>
        <w:rPr>
          <w:rFonts w:hint="eastAsia"/>
          <w:color w:val="auto"/>
          <w:sz w:val="28"/>
          <w:szCs w:val="28"/>
          <w:vertAlign w:val="baseline"/>
          <w:lang w:eastAsia="zh-CN"/>
        </w:rPr>
        <w:t>m</w:t>
      </w:r>
      <w:r>
        <w:rPr>
          <w:rFonts w:hint="eastAsia"/>
          <w:color w:val="auto"/>
          <w:sz w:val="28"/>
          <w:szCs w:val="28"/>
          <w:vertAlign w:val="superscript"/>
          <w:lang w:eastAsia="zh-CN"/>
        </w:rPr>
        <w:t>3</w:t>
      </w:r>
      <w:r>
        <w:rPr>
          <w:rFonts w:hint="eastAsia"/>
          <w:color w:val="auto"/>
          <w:sz w:val="28"/>
          <w:szCs w:val="28"/>
        </w:rPr>
        <w:t>，在护脚末端设置一24</w:t>
      </w:r>
      <w:r>
        <w:rPr>
          <w:rFonts w:hint="eastAsia"/>
          <w:color w:val="auto"/>
          <w:sz w:val="28"/>
          <w:szCs w:val="28"/>
          <w:vertAlign w:val="baseline"/>
          <w:lang w:eastAsia="zh-CN"/>
        </w:rPr>
        <w:t>m</w:t>
      </w:r>
      <w:r>
        <w:rPr>
          <w:rFonts w:hint="eastAsia"/>
          <w:color w:val="auto"/>
          <w:sz w:val="28"/>
          <w:szCs w:val="28"/>
          <w:vertAlign w:val="superscript"/>
          <w:lang w:eastAsia="zh-CN"/>
        </w:rPr>
        <w:t>3</w:t>
      </w:r>
      <w:r>
        <w:rPr>
          <w:rFonts w:hint="eastAsia"/>
          <w:color w:val="auto"/>
          <w:sz w:val="28"/>
          <w:szCs w:val="28"/>
        </w:rPr>
        <w:t>的集水池，并拆除村民修筑的挡水土坝。</w:t>
      </w:r>
    </w:p>
    <w:p w14:paraId="450D2D9D">
      <w:pPr>
        <w:ind w:firstLine="560"/>
        <w:rPr>
          <w:rFonts w:hint="eastAsia"/>
          <w:b/>
          <w:bCs/>
          <w:color w:val="auto"/>
          <w:sz w:val="28"/>
          <w:szCs w:val="28"/>
          <w:lang w:val="en-US" w:eastAsia="zh-CN"/>
        </w:rPr>
      </w:pPr>
      <w:r>
        <w:rPr>
          <w:rFonts w:hint="eastAsia"/>
          <w:b/>
          <w:bCs/>
          <w:color w:val="auto"/>
          <w:sz w:val="28"/>
          <w:szCs w:val="28"/>
          <w:lang w:val="en-US" w:eastAsia="zh-CN"/>
        </w:rPr>
        <w:t>2、闭库工程建设情况</w:t>
      </w:r>
    </w:p>
    <w:p w14:paraId="3607BDE3">
      <w:pPr>
        <w:ind w:firstLine="560"/>
        <w:rPr>
          <w:rFonts w:hint="eastAsia" w:eastAsiaTheme="minorEastAsia"/>
          <w:color w:val="auto"/>
          <w:sz w:val="28"/>
          <w:szCs w:val="28"/>
        </w:rPr>
      </w:pPr>
      <w:r>
        <w:rPr>
          <w:rFonts w:hint="eastAsia"/>
          <w:color w:val="auto"/>
          <w:sz w:val="28"/>
          <w:szCs w:val="28"/>
        </w:rPr>
        <w:t>初期坝高</w:t>
      </w:r>
      <w:r>
        <w:rPr>
          <w:rFonts w:hint="eastAsia"/>
          <w:color w:val="auto"/>
          <w:sz w:val="28"/>
          <w:szCs w:val="28"/>
          <w:lang w:val="en-US" w:eastAsia="zh-CN"/>
        </w:rPr>
        <w:t>17.5</w:t>
      </w:r>
      <w:r>
        <w:rPr>
          <w:rFonts w:hint="eastAsia"/>
          <w:color w:val="auto"/>
          <w:sz w:val="28"/>
          <w:szCs w:val="28"/>
          <w:lang w:eastAsia="zh-CN"/>
        </w:rPr>
        <w:t>m</w:t>
      </w:r>
      <w:r>
        <w:rPr>
          <w:rFonts w:hint="eastAsia"/>
          <w:color w:val="auto"/>
          <w:sz w:val="28"/>
          <w:szCs w:val="28"/>
        </w:rPr>
        <w:t>，初期坝外坡比1：2.2，内坡比1：2.0，坝型为</w:t>
      </w:r>
      <w:r>
        <w:rPr>
          <w:rFonts w:hint="eastAsia"/>
          <w:color w:val="auto"/>
          <w:sz w:val="28"/>
          <w:szCs w:val="28"/>
          <w:lang w:val="en-US" w:eastAsia="zh-CN"/>
        </w:rPr>
        <w:t>碾压土石坝</w:t>
      </w:r>
      <w:r>
        <w:rPr>
          <w:rFonts w:hint="eastAsia"/>
          <w:color w:val="auto"/>
          <w:sz w:val="28"/>
          <w:szCs w:val="28"/>
        </w:rPr>
        <w:t>，坝顶标高</w:t>
      </w:r>
      <w:r>
        <w:rPr>
          <w:rFonts w:hint="eastAsia"/>
          <w:color w:val="auto"/>
          <w:sz w:val="28"/>
          <w:szCs w:val="28"/>
          <w:lang w:val="en-US" w:eastAsia="zh-CN"/>
        </w:rPr>
        <w:t>1890</w:t>
      </w:r>
      <w:r>
        <w:rPr>
          <w:rFonts w:hint="eastAsia"/>
          <w:color w:val="auto"/>
          <w:sz w:val="28"/>
          <w:szCs w:val="28"/>
        </w:rPr>
        <w:t>.0</w:t>
      </w:r>
      <w:r>
        <w:rPr>
          <w:rFonts w:hint="eastAsia"/>
          <w:color w:val="auto"/>
          <w:sz w:val="28"/>
          <w:szCs w:val="28"/>
          <w:lang w:eastAsia="zh-CN"/>
        </w:rPr>
        <w:t>m</w:t>
      </w:r>
      <w:r>
        <w:rPr>
          <w:rFonts w:hint="eastAsia"/>
          <w:color w:val="auto"/>
          <w:sz w:val="28"/>
          <w:szCs w:val="28"/>
        </w:rPr>
        <w:t>，坝底标高</w:t>
      </w:r>
      <w:r>
        <w:rPr>
          <w:rFonts w:hint="eastAsia"/>
          <w:color w:val="auto"/>
          <w:sz w:val="28"/>
          <w:szCs w:val="28"/>
          <w:lang w:val="en-US" w:eastAsia="zh-CN"/>
        </w:rPr>
        <w:t>1872.5</w:t>
      </w:r>
      <w:r>
        <w:rPr>
          <w:rFonts w:hint="eastAsia"/>
          <w:color w:val="auto"/>
          <w:sz w:val="28"/>
          <w:szCs w:val="28"/>
          <w:lang w:eastAsia="zh-CN"/>
        </w:rPr>
        <w:t>m</w:t>
      </w:r>
      <w:r>
        <w:rPr>
          <w:rFonts w:hint="eastAsia"/>
          <w:color w:val="auto"/>
          <w:sz w:val="28"/>
          <w:szCs w:val="28"/>
        </w:rPr>
        <w:t>。</w:t>
      </w:r>
      <w:r>
        <w:rPr>
          <w:rFonts w:hint="eastAsia"/>
          <w:color w:val="auto"/>
          <w:sz w:val="28"/>
          <w:szCs w:val="28"/>
          <w:lang w:val="en-US" w:eastAsia="zh-CN"/>
        </w:rPr>
        <w:t>在初期坝坝脚用毛石进行了护脚，向下游延伸24m，面积498</w:t>
      </w:r>
      <w:r>
        <w:rPr>
          <w:rFonts w:hint="eastAsia"/>
          <w:color w:val="auto"/>
          <w:sz w:val="28"/>
          <w:szCs w:val="28"/>
          <w:vertAlign w:val="baseline"/>
          <w:lang w:val="en-US" w:eastAsia="zh-CN"/>
        </w:rPr>
        <w:t>m</w:t>
      </w:r>
      <w:r>
        <w:rPr>
          <w:rFonts w:hint="eastAsia"/>
          <w:color w:val="auto"/>
          <w:sz w:val="28"/>
          <w:szCs w:val="28"/>
          <w:vertAlign w:val="superscript"/>
          <w:lang w:val="en-US" w:eastAsia="zh-CN"/>
        </w:rPr>
        <w:t>2</w:t>
      </w:r>
      <w:r>
        <w:rPr>
          <w:rFonts w:hint="eastAsia" w:ascii="Times New Roman" w:hAnsi="Times New Roman" w:eastAsia="宋体" w:cs="Times New Roman"/>
          <w:color w:val="auto"/>
          <w:sz w:val="28"/>
          <w:szCs w:val="28"/>
          <w:lang w:val="en-US" w:eastAsia="zh-CN"/>
        </w:rPr>
        <w:t>，毛石填方996.56</w:t>
      </w:r>
      <w:r>
        <w:rPr>
          <w:rFonts w:hint="eastAsia" w:cs="Times New Roman"/>
          <w:color w:val="auto"/>
          <w:sz w:val="28"/>
          <w:szCs w:val="28"/>
          <w:vertAlign w:val="baseline"/>
          <w:lang w:val="en-US" w:eastAsia="zh-CN"/>
        </w:rPr>
        <w:t>m</w:t>
      </w:r>
      <w:r>
        <w:rPr>
          <w:rFonts w:hint="eastAsia" w:cs="Times New Roman"/>
          <w:color w:val="auto"/>
          <w:sz w:val="28"/>
          <w:szCs w:val="28"/>
          <w:vertAlign w:val="superscript"/>
          <w:lang w:val="en-US" w:eastAsia="zh-CN"/>
        </w:rPr>
        <w:t>3</w:t>
      </w:r>
      <w:r>
        <w:rPr>
          <w:rFonts w:hint="eastAsia" w:ascii="Times New Roman" w:hAnsi="Times New Roman" w:eastAsia="宋体" w:cs="Times New Roman"/>
          <w:color w:val="auto"/>
          <w:sz w:val="28"/>
          <w:szCs w:val="28"/>
          <w:lang w:val="en-US" w:eastAsia="zh-CN"/>
        </w:rPr>
        <w:t>，下游挡水土坝因未能与村民达成协议，无法拆除，同时集水池也未建设</w:t>
      </w:r>
      <w:r>
        <w:rPr>
          <w:rFonts w:hint="eastAsia" w:ascii="Times New Roman" w:hAnsi="Times New Roman" w:eastAsia="宋体" w:cs="Times New Roman"/>
          <w:color w:val="auto"/>
          <w:sz w:val="28"/>
          <w:szCs w:val="28"/>
        </w:rPr>
        <w:t>。</w:t>
      </w:r>
    </w:p>
    <w:tbl>
      <w:tblPr>
        <w:tblStyle w:val="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1"/>
        <w:gridCol w:w="4936"/>
      </w:tblGrid>
      <w:tr w14:paraId="3BDC8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39" w:type="dxa"/>
          </w:tcPr>
          <w:p w14:paraId="45F809C6">
            <w:pPr>
              <w:pStyle w:val="90"/>
              <w:jc w:val="both"/>
              <w:rPr>
                <w:rFonts w:hint="default"/>
                <w:color w:val="auto"/>
                <w:vertAlign w:val="baseline"/>
                <w:lang w:val="en-US" w:eastAsia="zh-CN"/>
              </w:rPr>
            </w:pPr>
            <w:r>
              <w:rPr>
                <w:rFonts w:hint="eastAsia"/>
                <w:color w:val="000000" w:themeColor="text1"/>
                <w14:textFill>
                  <w14:solidFill>
                    <w14:schemeClr w14:val="tx1"/>
                  </w14:solidFill>
                </w14:textFill>
              </w:rPr>
              <w:drawing>
                <wp:inline distT="0" distB="0" distL="114300" distR="114300">
                  <wp:extent cx="2691765" cy="2080260"/>
                  <wp:effectExtent l="0" t="0" r="635" b="2540"/>
                  <wp:docPr id="35" name="图片 35" descr="IMG_20220824_101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IMG_20220824_101516"/>
                          <pic:cNvPicPr>
                            <a:picLocks noChangeAspect="1"/>
                          </pic:cNvPicPr>
                        </pic:nvPicPr>
                        <pic:blipFill>
                          <a:blip r:embed="rId21"/>
                          <a:stretch>
                            <a:fillRect/>
                          </a:stretch>
                        </pic:blipFill>
                        <pic:spPr>
                          <a:xfrm>
                            <a:off x="0" y="0"/>
                            <a:ext cx="2691765" cy="2080260"/>
                          </a:xfrm>
                          <a:prstGeom prst="rect">
                            <a:avLst/>
                          </a:prstGeom>
                        </pic:spPr>
                      </pic:pic>
                    </a:graphicData>
                  </a:graphic>
                </wp:inline>
              </w:drawing>
            </w:r>
          </w:p>
        </w:tc>
        <w:tc>
          <w:tcPr>
            <w:tcW w:w="4436" w:type="dxa"/>
          </w:tcPr>
          <w:p w14:paraId="01CB612F">
            <w:pPr>
              <w:pStyle w:val="90"/>
              <w:jc w:val="both"/>
              <w:rPr>
                <w:rFonts w:hint="default"/>
                <w:color w:val="auto"/>
                <w:vertAlign w:val="baseline"/>
                <w:lang w:val="en-US" w:eastAsia="zh-CN"/>
              </w:rPr>
            </w:pPr>
            <w:r>
              <w:drawing>
                <wp:inline distT="0" distB="0" distL="114300" distR="114300">
                  <wp:extent cx="3072765" cy="2107565"/>
                  <wp:effectExtent l="0" t="0" r="635" b="635"/>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1"/>
                          </pic:cNvPicPr>
                        </pic:nvPicPr>
                        <pic:blipFill>
                          <a:blip r:embed="rId22"/>
                          <a:stretch>
                            <a:fillRect/>
                          </a:stretch>
                        </pic:blipFill>
                        <pic:spPr>
                          <a:xfrm>
                            <a:off x="0" y="0"/>
                            <a:ext cx="3072765" cy="2107565"/>
                          </a:xfrm>
                          <a:prstGeom prst="rect">
                            <a:avLst/>
                          </a:prstGeom>
                          <a:noFill/>
                          <a:ln>
                            <a:noFill/>
                          </a:ln>
                        </pic:spPr>
                      </pic:pic>
                    </a:graphicData>
                  </a:graphic>
                </wp:inline>
              </w:drawing>
            </w:r>
          </w:p>
        </w:tc>
      </w:tr>
      <w:tr w14:paraId="6BBDB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39" w:type="dxa"/>
          </w:tcPr>
          <w:p w14:paraId="42AD939D">
            <w:pPr>
              <w:pStyle w:val="90"/>
              <w:jc w:val="center"/>
              <w:rPr>
                <w:rFonts w:hint="default"/>
                <w:color w:val="auto"/>
                <w:vertAlign w:val="baseline"/>
                <w:lang w:val="en-US" w:eastAsia="zh-CN"/>
              </w:rPr>
            </w:pPr>
            <w:r>
              <w:rPr>
                <w:rFonts w:hint="eastAsia"/>
                <w:color w:val="auto"/>
                <w:vertAlign w:val="baseline"/>
                <w:lang w:val="en-US" w:eastAsia="zh-CN"/>
              </w:rPr>
              <w:t>闭库前初期坝</w:t>
            </w:r>
          </w:p>
        </w:tc>
        <w:tc>
          <w:tcPr>
            <w:tcW w:w="4436" w:type="dxa"/>
          </w:tcPr>
          <w:p w14:paraId="38A06855">
            <w:pPr>
              <w:pStyle w:val="90"/>
              <w:jc w:val="center"/>
              <w:rPr>
                <w:rFonts w:hint="default"/>
                <w:color w:val="auto"/>
                <w:vertAlign w:val="baseline"/>
                <w:lang w:val="en-US" w:eastAsia="zh-CN"/>
              </w:rPr>
            </w:pPr>
            <w:r>
              <w:rPr>
                <w:rFonts w:hint="eastAsia"/>
                <w:color w:val="auto"/>
                <w:vertAlign w:val="baseline"/>
                <w:lang w:val="en-US" w:eastAsia="zh-CN"/>
              </w:rPr>
              <w:t>护脚后情况</w:t>
            </w:r>
          </w:p>
        </w:tc>
      </w:tr>
    </w:tbl>
    <w:p w14:paraId="052B9273">
      <w:pPr>
        <w:pStyle w:val="90"/>
        <w:rPr>
          <w:rFonts w:hint="default"/>
          <w:color w:val="auto"/>
          <w:lang w:val="en-US" w:eastAsia="zh-CN"/>
        </w:rPr>
      </w:pPr>
    </w:p>
    <w:p w14:paraId="463EF230">
      <w:pPr>
        <w:pStyle w:val="6"/>
        <w:outlineLvl w:val="3"/>
        <w:rPr>
          <w:color w:val="auto"/>
        </w:rPr>
      </w:pPr>
      <w:r>
        <w:rPr>
          <w:color w:val="auto"/>
        </w:rPr>
        <w:t>堆积坝</w:t>
      </w:r>
    </w:p>
    <w:p w14:paraId="1AF63BBC">
      <w:pPr>
        <w:numPr>
          <w:ilvl w:val="0"/>
          <w:numId w:val="0"/>
        </w:numPr>
        <w:adjustRightInd w:val="0"/>
        <w:snapToGrid w:val="0"/>
        <w:ind w:firstLine="562" w:firstLineChars="200"/>
        <w:rPr>
          <w:rFonts w:hint="eastAsia"/>
          <w:b/>
          <w:bCs/>
          <w:color w:val="auto"/>
          <w:lang w:val="en-US" w:eastAsia="zh-CN"/>
        </w:rPr>
      </w:pPr>
      <w:r>
        <w:rPr>
          <w:rFonts w:hint="eastAsia" w:ascii="Times New Roman" w:hAnsi="Times New Roman" w:eastAsia="宋体" w:cs="Times New Roman"/>
          <w:b/>
          <w:bCs/>
          <w:snapToGrid w:val="0"/>
          <w:color w:val="auto"/>
          <w:sz w:val="28"/>
          <w:szCs w:val="28"/>
          <w:lang w:val="en-US" w:eastAsia="zh-CN" w:bidi="ar-SA"/>
        </w:rPr>
        <w:t>1、</w:t>
      </w:r>
      <w:r>
        <w:rPr>
          <w:rFonts w:hint="eastAsia"/>
          <w:b/>
          <w:bCs/>
          <w:color w:val="auto"/>
          <w:lang w:val="en-US" w:eastAsia="zh-CN"/>
        </w:rPr>
        <w:t>闭库设计情况</w:t>
      </w:r>
    </w:p>
    <w:p w14:paraId="0D099B34">
      <w:pPr>
        <w:pStyle w:val="25"/>
        <w:numPr>
          <w:ilvl w:val="0"/>
          <w:numId w:val="0"/>
        </w:numPr>
        <w:ind w:firstLine="560" w:firstLineChars="20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把库区前部较高处尾矿分层削坡（分层削坡厚度小于1.5</w:t>
      </w:r>
      <w:r>
        <w:rPr>
          <w:rFonts w:hint="eastAsia" w:cs="Times New Roman"/>
          <w:snapToGrid w:val="0"/>
          <w:color w:val="auto"/>
          <w:sz w:val="28"/>
          <w:szCs w:val="28"/>
          <w:lang w:val="en-US" w:eastAsia="zh-CN" w:bidi="ar-SA"/>
        </w:rPr>
        <w:t>m</w:t>
      </w:r>
      <w:r>
        <w:rPr>
          <w:rFonts w:hint="eastAsia" w:ascii="Times New Roman" w:hAnsi="Times New Roman" w:eastAsia="宋体" w:cs="Times New Roman"/>
          <w:snapToGrid w:val="0"/>
          <w:color w:val="auto"/>
          <w:sz w:val="28"/>
          <w:szCs w:val="28"/>
          <w:lang w:val="en-US" w:eastAsia="zh-CN" w:bidi="ar-SA"/>
        </w:rPr>
        <w:t>），尾矿坝整治后，坝顶标高由原1911.5</w:t>
      </w:r>
      <w:r>
        <w:rPr>
          <w:rFonts w:hint="eastAsia" w:cs="Times New Roman"/>
          <w:snapToGrid w:val="0"/>
          <w:color w:val="auto"/>
          <w:sz w:val="28"/>
          <w:szCs w:val="28"/>
          <w:lang w:val="en-US" w:eastAsia="zh-CN" w:bidi="ar-SA"/>
        </w:rPr>
        <w:t>m</w:t>
      </w:r>
      <w:r>
        <w:rPr>
          <w:rFonts w:hint="eastAsia" w:ascii="Times New Roman" w:hAnsi="Times New Roman" w:eastAsia="宋体" w:cs="Times New Roman"/>
          <w:snapToGrid w:val="0"/>
          <w:color w:val="auto"/>
          <w:sz w:val="28"/>
          <w:szCs w:val="28"/>
          <w:lang w:val="en-US" w:eastAsia="zh-CN" w:bidi="ar-SA"/>
        </w:rPr>
        <w:t>降低至1907.5</w:t>
      </w:r>
      <w:r>
        <w:rPr>
          <w:rFonts w:hint="eastAsia" w:cs="Times New Roman"/>
          <w:snapToGrid w:val="0"/>
          <w:color w:val="auto"/>
          <w:sz w:val="28"/>
          <w:szCs w:val="28"/>
          <w:lang w:val="en-US" w:eastAsia="zh-CN" w:bidi="ar-SA"/>
        </w:rPr>
        <w:t>m</w:t>
      </w:r>
      <w:r>
        <w:rPr>
          <w:rFonts w:hint="eastAsia" w:ascii="Times New Roman" w:hAnsi="Times New Roman" w:eastAsia="宋体" w:cs="Times New Roman"/>
          <w:snapToGrid w:val="0"/>
          <w:color w:val="auto"/>
          <w:sz w:val="28"/>
          <w:szCs w:val="28"/>
          <w:lang w:val="en-US" w:eastAsia="zh-CN" w:bidi="ar-SA"/>
        </w:rPr>
        <w:t>（库尾标高1911.5</w:t>
      </w:r>
      <w:r>
        <w:rPr>
          <w:rFonts w:hint="eastAsia" w:cs="Times New Roman"/>
          <w:snapToGrid w:val="0"/>
          <w:color w:val="auto"/>
          <w:sz w:val="28"/>
          <w:szCs w:val="28"/>
          <w:lang w:val="en-US" w:eastAsia="zh-CN" w:bidi="ar-SA"/>
        </w:rPr>
        <w:t>m</w:t>
      </w:r>
      <w:r>
        <w:rPr>
          <w:rFonts w:hint="eastAsia" w:ascii="Times New Roman" w:hAnsi="Times New Roman" w:eastAsia="宋体" w:cs="Times New Roman"/>
          <w:snapToGrid w:val="0"/>
          <w:color w:val="auto"/>
          <w:sz w:val="28"/>
          <w:szCs w:val="28"/>
          <w:lang w:val="en-US" w:eastAsia="zh-CN" w:bidi="ar-SA"/>
        </w:rPr>
        <w:t>），整治闭库后，最终尾矿坝高39</w:t>
      </w:r>
      <w:r>
        <w:rPr>
          <w:rFonts w:hint="eastAsia" w:cs="Times New Roman"/>
          <w:snapToGrid w:val="0"/>
          <w:color w:val="auto"/>
          <w:sz w:val="28"/>
          <w:szCs w:val="28"/>
          <w:lang w:val="en-US" w:eastAsia="zh-CN" w:bidi="ar-SA"/>
        </w:rPr>
        <w:t>m</w:t>
      </w:r>
      <w:r>
        <w:rPr>
          <w:rFonts w:hint="eastAsia" w:ascii="Times New Roman" w:hAnsi="Times New Roman" w:eastAsia="宋体" w:cs="Times New Roman"/>
          <w:snapToGrid w:val="0"/>
          <w:color w:val="auto"/>
          <w:sz w:val="28"/>
          <w:szCs w:val="28"/>
          <w:lang w:val="en-US" w:eastAsia="zh-CN" w:bidi="ar-SA"/>
        </w:rPr>
        <w:t>，堆积尾矿量不变为83万</w:t>
      </w:r>
      <w:r>
        <w:rPr>
          <w:rFonts w:hint="eastAsia" w:cs="Times New Roman"/>
          <w:snapToGrid w:val="0"/>
          <w:color w:val="auto"/>
          <w:sz w:val="28"/>
          <w:szCs w:val="28"/>
          <w:vertAlign w:val="baseline"/>
          <w:lang w:val="en-US" w:eastAsia="zh-CN" w:bidi="ar-SA"/>
        </w:rPr>
        <w:t>m</w:t>
      </w:r>
      <w:r>
        <w:rPr>
          <w:rFonts w:hint="eastAsia" w:cs="Times New Roman"/>
          <w:snapToGrid w:val="0"/>
          <w:color w:val="auto"/>
          <w:sz w:val="28"/>
          <w:szCs w:val="28"/>
          <w:vertAlign w:val="superscript"/>
          <w:lang w:val="en-US" w:eastAsia="zh-CN" w:bidi="ar-SA"/>
        </w:rPr>
        <w:t>3</w:t>
      </w:r>
      <w:r>
        <w:rPr>
          <w:rFonts w:hint="eastAsia" w:ascii="Times New Roman" w:hAnsi="Times New Roman" w:eastAsia="宋体" w:cs="Times New Roman"/>
          <w:snapToGrid w:val="0"/>
          <w:color w:val="auto"/>
          <w:sz w:val="28"/>
          <w:szCs w:val="28"/>
          <w:lang w:val="en-US" w:eastAsia="zh-CN" w:bidi="ar-SA"/>
        </w:rPr>
        <w:t>，为四等库。在整治闭库后在尾矿坝上设置踏步，踏步宽1</w:t>
      </w:r>
      <w:r>
        <w:rPr>
          <w:rFonts w:hint="eastAsia" w:cs="Times New Roman"/>
          <w:snapToGrid w:val="0"/>
          <w:color w:val="auto"/>
          <w:sz w:val="28"/>
          <w:szCs w:val="28"/>
          <w:lang w:val="en-US" w:eastAsia="zh-CN" w:bidi="ar-SA"/>
        </w:rPr>
        <w:t>m</w:t>
      </w:r>
      <w:r>
        <w:rPr>
          <w:rFonts w:hint="eastAsia" w:ascii="Times New Roman" w:hAnsi="Times New Roman" w:eastAsia="宋体" w:cs="Times New Roman"/>
          <w:snapToGrid w:val="0"/>
          <w:color w:val="auto"/>
          <w:sz w:val="28"/>
          <w:szCs w:val="28"/>
          <w:lang w:val="en-US" w:eastAsia="zh-CN" w:bidi="ar-SA"/>
        </w:rPr>
        <w:t>。左岸原有挡土墙高4</w:t>
      </w:r>
      <w:r>
        <w:rPr>
          <w:rFonts w:hint="eastAsia" w:cs="Times New Roman"/>
          <w:snapToGrid w:val="0"/>
          <w:color w:val="auto"/>
          <w:sz w:val="28"/>
          <w:szCs w:val="28"/>
          <w:lang w:val="en-US" w:eastAsia="zh-CN" w:bidi="ar-SA"/>
        </w:rPr>
        <w:t>m</w:t>
      </w:r>
      <w:r>
        <w:rPr>
          <w:rFonts w:hint="eastAsia" w:ascii="Times New Roman" w:hAnsi="Times New Roman" w:eastAsia="宋体" w:cs="Times New Roman"/>
          <w:snapToGrid w:val="0"/>
          <w:color w:val="auto"/>
          <w:sz w:val="28"/>
          <w:szCs w:val="28"/>
          <w:lang w:val="en-US" w:eastAsia="zh-CN" w:bidi="ar-SA"/>
        </w:rPr>
        <w:t>，坐落在粘土岩上，基础稳固，本次进行保留。</w:t>
      </w:r>
    </w:p>
    <w:p w14:paraId="560623F2">
      <w:pPr>
        <w:rPr>
          <w:rFonts w:hint="eastAsia"/>
          <w:b/>
          <w:bCs/>
          <w:color w:val="auto"/>
          <w:lang w:val="en-US" w:eastAsia="zh-CN"/>
        </w:rPr>
      </w:pPr>
      <w:r>
        <w:rPr>
          <w:rFonts w:hint="eastAsia"/>
          <w:b/>
          <w:bCs/>
          <w:color w:val="auto"/>
          <w:lang w:val="en-US" w:eastAsia="zh-CN"/>
        </w:rPr>
        <w:t>2、闭库工程建设情况</w:t>
      </w:r>
    </w:p>
    <w:p w14:paraId="7165BF2F">
      <w:pPr>
        <w:adjustRightInd w:val="0"/>
        <w:snapToGrid w:val="0"/>
        <w:ind w:firstLine="560"/>
        <w:rPr>
          <w:rFonts w:hint="eastAsia"/>
          <w:color w:val="auto"/>
          <w:sz w:val="28"/>
          <w:szCs w:val="28"/>
          <w:lang w:val="en-US" w:eastAsia="zh-CN"/>
        </w:rPr>
      </w:pPr>
      <w:r>
        <w:rPr>
          <w:rFonts w:hint="eastAsia"/>
          <w:color w:val="auto"/>
          <w:sz w:val="28"/>
          <w:szCs w:val="28"/>
          <w:lang w:val="en-US" w:eastAsia="zh-CN"/>
        </w:rPr>
        <w:t>经过现场勘查</w:t>
      </w:r>
      <w:r>
        <w:rPr>
          <w:rFonts w:hint="eastAsia"/>
          <w:color w:val="auto"/>
          <w:sz w:val="28"/>
          <w:szCs w:val="28"/>
          <w:lang w:eastAsia="zh-CN"/>
        </w:rPr>
        <w:t>堆积坝</w:t>
      </w:r>
      <w:r>
        <w:rPr>
          <w:rFonts w:hint="eastAsia"/>
          <w:color w:val="auto"/>
          <w:sz w:val="28"/>
          <w:szCs w:val="28"/>
          <w:lang w:val="en-US" w:eastAsia="zh-CN"/>
        </w:rPr>
        <w:t>坝顶已经进行了削坡</w:t>
      </w:r>
      <w:r>
        <w:rPr>
          <w:rFonts w:hint="eastAsia"/>
          <w:color w:val="auto"/>
          <w:sz w:val="28"/>
          <w:szCs w:val="28"/>
          <w:lang w:eastAsia="zh-CN"/>
        </w:rPr>
        <w:t>，</w:t>
      </w:r>
      <w:r>
        <w:rPr>
          <w:rFonts w:hint="eastAsia"/>
          <w:color w:val="auto"/>
          <w:sz w:val="28"/>
          <w:szCs w:val="28"/>
          <w:lang w:val="en-US" w:eastAsia="zh-CN"/>
        </w:rPr>
        <w:t>根据竣工图</w:t>
      </w:r>
      <w:r>
        <w:rPr>
          <w:rFonts w:hint="eastAsia"/>
          <w:color w:val="auto"/>
          <w:sz w:val="28"/>
          <w:szCs w:val="28"/>
          <w:lang w:eastAsia="zh-CN"/>
        </w:rPr>
        <w:t>总坝高</w:t>
      </w:r>
      <w:r>
        <w:rPr>
          <w:rFonts w:hint="eastAsia"/>
          <w:color w:val="auto"/>
          <w:sz w:val="28"/>
          <w:szCs w:val="28"/>
          <w:lang w:val="en-US" w:eastAsia="zh-CN"/>
        </w:rPr>
        <w:t>39</w:t>
      </w:r>
      <w:r>
        <w:rPr>
          <w:rFonts w:hint="eastAsia"/>
          <w:color w:val="auto"/>
          <w:sz w:val="28"/>
          <w:szCs w:val="28"/>
          <w:lang w:eastAsia="zh-CN"/>
        </w:rPr>
        <w:t>m，堆积坝坝顶标高</w:t>
      </w:r>
      <w:r>
        <w:rPr>
          <w:rFonts w:hint="eastAsia"/>
          <w:color w:val="auto"/>
          <w:sz w:val="28"/>
          <w:szCs w:val="28"/>
          <w:lang w:val="en-US" w:eastAsia="zh-CN"/>
        </w:rPr>
        <w:t>1907.5</w:t>
      </w:r>
      <w:r>
        <w:rPr>
          <w:rFonts w:hint="eastAsia"/>
          <w:color w:val="auto"/>
          <w:sz w:val="28"/>
          <w:szCs w:val="28"/>
          <w:lang w:eastAsia="zh-CN"/>
        </w:rPr>
        <w:t>m（</w:t>
      </w:r>
      <w:r>
        <w:rPr>
          <w:rFonts w:hint="eastAsia"/>
          <w:color w:val="auto"/>
          <w:sz w:val="28"/>
          <w:szCs w:val="28"/>
          <w:lang w:val="en-US" w:eastAsia="zh-CN"/>
        </w:rPr>
        <w:t>设计标高1907.5m</w:t>
      </w:r>
      <w:r>
        <w:rPr>
          <w:rFonts w:hint="eastAsia"/>
          <w:color w:val="auto"/>
          <w:sz w:val="28"/>
          <w:szCs w:val="28"/>
          <w:lang w:eastAsia="zh-CN"/>
        </w:rPr>
        <w:t>），</w:t>
      </w:r>
      <w:r>
        <w:rPr>
          <w:rFonts w:hint="eastAsia" w:ascii="Times New Roman" w:hAnsi="Times New Roman" w:eastAsia="宋体" w:cs="Times New Roman"/>
          <w:snapToGrid w:val="0"/>
          <w:color w:val="auto"/>
          <w:sz w:val="28"/>
          <w:szCs w:val="28"/>
          <w:lang w:val="en-US" w:eastAsia="zh-CN" w:bidi="ar-SA"/>
        </w:rPr>
        <w:t>堆积尾矿量不变为83万</w:t>
      </w:r>
      <w:r>
        <w:rPr>
          <w:rFonts w:hint="eastAsia" w:cs="Times New Roman"/>
          <w:snapToGrid w:val="0"/>
          <w:color w:val="auto"/>
          <w:sz w:val="28"/>
          <w:szCs w:val="28"/>
          <w:vertAlign w:val="baseline"/>
          <w:lang w:val="en-US" w:eastAsia="zh-CN" w:bidi="ar-SA"/>
        </w:rPr>
        <w:t>m</w:t>
      </w:r>
      <w:r>
        <w:rPr>
          <w:rFonts w:hint="eastAsia" w:cs="Times New Roman"/>
          <w:snapToGrid w:val="0"/>
          <w:color w:val="auto"/>
          <w:sz w:val="28"/>
          <w:szCs w:val="28"/>
          <w:vertAlign w:val="superscript"/>
          <w:lang w:val="en-US" w:eastAsia="zh-CN" w:bidi="ar-SA"/>
        </w:rPr>
        <w:t>3</w:t>
      </w:r>
      <w:r>
        <w:rPr>
          <w:rFonts w:hint="eastAsia" w:ascii="Times New Roman" w:hAnsi="Times New Roman" w:eastAsia="宋体" w:cs="Times New Roman"/>
          <w:snapToGrid w:val="0"/>
          <w:color w:val="auto"/>
          <w:sz w:val="28"/>
          <w:szCs w:val="28"/>
          <w:lang w:val="en-US" w:eastAsia="zh-CN" w:bidi="ar-SA"/>
        </w:rPr>
        <w:t>，为四等库</w:t>
      </w:r>
      <w:r>
        <w:rPr>
          <w:rFonts w:hint="eastAsia"/>
          <w:color w:val="auto"/>
          <w:sz w:val="28"/>
          <w:szCs w:val="28"/>
          <w:lang w:eastAsia="zh-CN"/>
        </w:rPr>
        <w:t>。</w:t>
      </w:r>
    </w:p>
    <w:p w14:paraId="3AC4CB87">
      <w:pPr>
        <w:adjustRightInd w:val="0"/>
        <w:snapToGrid w:val="0"/>
        <w:ind w:firstLine="560"/>
        <w:rPr>
          <w:rFonts w:hint="eastAsia"/>
          <w:color w:val="auto"/>
          <w:sz w:val="28"/>
          <w:szCs w:val="28"/>
          <w:lang w:eastAsia="zh-CN"/>
        </w:rPr>
      </w:pPr>
      <w:r>
        <w:rPr>
          <w:rFonts w:hint="eastAsia"/>
          <w:color w:val="auto"/>
          <w:sz w:val="28"/>
          <w:szCs w:val="28"/>
          <w:lang w:val="en-US" w:eastAsia="zh-CN"/>
        </w:rPr>
        <w:t>经过现场勘查已在堆积坝上修筑了2段人行梯，根据竣工图施工长度总计112.8m，宽度1m</w:t>
      </w:r>
      <w:r>
        <w:rPr>
          <w:rFonts w:hint="eastAsia"/>
          <w:color w:val="auto"/>
          <w:sz w:val="28"/>
          <w:szCs w:val="28"/>
          <w:lang w:eastAsia="zh-CN"/>
        </w:rPr>
        <w:t>。</w:t>
      </w:r>
    </w:p>
    <w:p w14:paraId="0D927944">
      <w:pPr>
        <w:pStyle w:val="25"/>
        <w:rPr>
          <w:rFonts w:hint="default"/>
          <w:lang w:val="en-US" w:eastAsia="zh-CN"/>
        </w:rPr>
      </w:pPr>
      <w:r>
        <w:rPr>
          <w:rFonts w:hint="eastAsia"/>
          <w:color w:val="auto"/>
          <w:sz w:val="28"/>
          <w:szCs w:val="28"/>
          <w:lang w:val="en-US" w:eastAsia="zh-CN"/>
        </w:rPr>
        <w:t>经过现场勘查左岸挡土墙进行了保留。</w:t>
      </w:r>
    </w:p>
    <w:tbl>
      <w:tblPr>
        <w:tblStyle w:val="58"/>
        <w:tblW w:w="0" w:type="auto"/>
        <w:tblInd w:w="1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8"/>
        <w:gridCol w:w="4577"/>
      </w:tblGrid>
      <w:tr w14:paraId="33AFA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8" w:type="dxa"/>
            <w:vAlign w:val="center"/>
          </w:tcPr>
          <w:p w14:paraId="0663A13D">
            <w:pPr>
              <w:pStyle w:val="90"/>
              <w:spacing w:line="240" w:lineRule="auto"/>
              <w:jc w:val="center"/>
              <w:rPr>
                <w:rFonts w:hint="eastAsia"/>
                <w:color w:val="auto"/>
                <w:vertAlign w:val="baseline"/>
                <w:lang w:val="en-US" w:eastAsia="zh-CN"/>
              </w:rPr>
            </w:pPr>
            <w:r>
              <w:rPr>
                <w:position w:val="-120"/>
              </w:rPr>
              <w:drawing>
                <wp:inline distT="0" distB="0" distL="0" distR="0">
                  <wp:extent cx="2453005" cy="2482850"/>
                  <wp:effectExtent l="0" t="0" r="10795" b="6350"/>
                  <wp:docPr id="19" name="IM 52"/>
                  <wp:cNvGraphicFramePr/>
                  <a:graphic xmlns:a="http://schemas.openxmlformats.org/drawingml/2006/main">
                    <a:graphicData uri="http://schemas.openxmlformats.org/drawingml/2006/picture">
                      <pic:pic xmlns:pic="http://schemas.openxmlformats.org/drawingml/2006/picture">
                        <pic:nvPicPr>
                          <pic:cNvPr id="19" name="IM 52"/>
                          <pic:cNvPicPr/>
                        </pic:nvPicPr>
                        <pic:blipFill>
                          <a:blip r:embed="rId23"/>
                          <a:stretch>
                            <a:fillRect/>
                          </a:stretch>
                        </pic:blipFill>
                        <pic:spPr>
                          <a:xfrm>
                            <a:off x="0" y="0"/>
                            <a:ext cx="2453005" cy="2482850"/>
                          </a:xfrm>
                          <a:prstGeom prst="rect">
                            <a:avLst/>
                          </a:prstGeom>
                        </pic:spPr>
                      </pic:pic>
                    </a:graphicData>
                  </a:graphic>
                </wp:inline>
              </w:drawing>
            </w:r>
          </w:p>
        </w:tc>
        <w:tc>
          <w:tcPr>
            <w:tcW w:w="4577" w:type="dxa"/>
            <w:vAlign w:val="center"/>
          </w:tcPr>
          <w:p w14:paraId="1CD82118">
            <w:pPr>
              <w:pStyle w:val="90"/>
              <w:spacing w:line="240" w:lineRule="auto"/>
              <w:jc w:val="center"/>
              <w:rPr>
                <w:rFonts w:hint="eastAsia"/>
                <w:color w:val="auto"/>
                <w:vertAlign w:val="baseline"/>
                <w:lang w:val="en-US" w:eastAsia="zh-CN"/>
              </w:rPr>
            </w:pPr>
            <w:r>
              <w:rPr>
                <w:rFonts w:hint="eastAsia"/>
                <w:color w:val="auto"/>
                <w:vertAlign w:val="baseline"/>
                <w:lang w:val="en-US" w:eastAsia="zh-CN"/>
              </w:rPr>
              <w:drawing>
                <wp:inline distT="0" distB="0" distL="114300" distR="114300">
                  <wp:extent cx="1903730" cy="2538730"/>
                  <wp:effectExtent l="0" t="0" r="1270" b="1270"/>
                  <wp:docPr id="45" name="图片 45" descr="ad77ec14d5010c5fe2145717280ae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ad77ec14d5010c5fe2145717280ae7d"/>
                          <pic:cNvPicPr>
                            <a:picLocks noChangeAspect="1"/>
                          </pic:cNvPicPr>
                        </pic:nvPicPr>
                        <pic:blipFill>
                          <a:blip r:embed="rId24"/>
                          <a:stretch>
                            <a:fillRect/>
                          </a:stretch>
                        </pic:blipFill>
                        <pic:spPr>
                          <a:xfrm>
                            <a:off x="0" y="0"/>
                            <a:ext cx="1903730" cy="2538730"/>
                          </a:xfrm>
                          <a:prstGeom prst="rect">
                            <a:avLst/>
                          </a:prstGeom>
                        </pic:spPr>
                      </pic:pic>
                    </a:graphicData>
                  </a:graphic>
                </wp:inline>
              </w:drawing>
            </w:r>
          </w:p>
        </w:tc>
      </w:tr>
      <w:tr w14:paraId="2E229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8" w:type="dxa"/>
            <w:vAlign w:val="center"/>
          </w:tcPr>
          <w:p w14:paraId="7BEEB066">
            <w:pPr>
              <w:pStyle w:val="90"/>
              <w:spacing w:line="240" w:lineRule="auto"/>
              <w:jc w:val="center"/>
              <w:rPr>
                <w:rFonts w:hint="default"/>
                <w:color w:val="auto"/>
                <w:vertAlign w:val="baseline"/>
                <w:lang w:val="en-US" w:eastAsia="zh-CN"/>
              </w:rPr>
            </w:pPr>
            <w:r>
              <w:rPr>
                <w:rFonts w:hint="eastAsia"/>
                <w:color w:val="auto"/>
                <w:vertAlign w:val="baseline"/>
                <w:lang w:val="en-US" w:eastAsia="zh-CN"/>
              </w:rPr>
              <w:t>闭库前堆积坝</w:t>
            </w:r>
          </w:p>
        </w:tc>
        <w:tc>
          <w:tcPr>
            <w:tcW w:w="4577" w:type="dxa"/>
            <w:vAlign w:val="center"/>
          </w:tcPr>
          <w:p w14:paraId="13FF9CB6">
            <w:pPr>
              <w:pStyle w:val="90"/>
              <w:spacing w:line="240" w:lineRule="auto"/>
              <w:jc w:val="center"/>
              <w:rPr>
                <w:rFonts w:hint="default"/>
                <w:color w:val="auto"/>
                <w:vertAlign w:val="baseline"/>
                <w:lang w:val="en-US" w:eastAsia="zh-CN"/>
              </w:rPr>
            </w:pPr>
            <w:r>
              <w:rPr>
                <w:rFonts w:hint="eastAsia"/>
                <w:color w:val="auto"/>
                <w:vertAlign w:val="baseline"/>
                <w:lang w:val="en-US" w:eastAsia="zh-CN"/>
              </w:rPr>
              <w:t>现堆积坝人行梯</w:t>
            </w:r>
          </w:p>
        </w:tc>
      </w:tr>
    </w:tbl>
    <w:p w14:paraId="21A03BB3">
      <w:pPr>
        <w:pStyle w:val="90"/>
        <w:rPr>
          <w:rFonts w:hint="eastAsia"/>
          <w:color w:val="auto"/>
          <w:lang w:val="en-US" w:eastAsia="zh-CN"/>
        </w:rPr>
      </w:pPr>
    </w:p>
    <w:p w14:paraId="351BA56A">
      <w:pPr>
        <w:pStyle w:val="6"/>
        <w:outlineLvl w:val="3"/>
        <w:rPr>
          <w:color w:val="auto"/>
        </w:rPr>
      </w:pPr>
      <w:r>
        <w:rPr>
          <w:color w:val="auto"/>
        </w:rPr>
        <w:t>尾矿坝</w:t>
      </w:r>
    </w:p>
    <w:p w14:paraId="649447C4">
      <w:pPr>
        <w:numPr>
          <w:ilvl w:val="0"/>
          <w:numId w:val="0"/>
        </w:numPr>
        <w:ind w:firstLine="562" w:firstLineChars="200"/>
        <w:rPr>
          <w:rFonts w:hint="eastAsia"/>
          <w:b/>
          <w:bCs/>
          <w:color w:val="auto"/>
          <w:lang w:val="en-US" w:eastAsia="zh-CN"/>
        </w:rPr>
      </w:pPr>
      <w:r>
        <w:rPr>
          <w:rFonts w:hint="eastAsia" w:ascii="Times New Roman" w:hAnsi="Times New Roman" w:eastAsia="宋体" w:cs="Times New Roman"/>
          <w:b/>
          <w:bCs/>
          <w:snapToGrid w:val="0"/>
          <w:color w:val="auto"/>
          <w:sz w:val="28"/>
          <w:szCs w:val="28"/>
          <w:lang w:val="en-US" w:eastAsia="zh-CN" w:bidi="ar-SA"/>
        </w:rPr>
        <w:t>1、</w:t>
      </w:r>
      <w:r>
        <w:rPr>
          <w:rFonts w:hint="eastAsia"/>
          <w:b/>
          <w:bCs/>
          <w:color w:val="auto"/>
          <w:lang w:val="en-US" w:eastAsia="zh-CN"/>
        </w:rPr>
        <w:t>闭库设计情况</w:t>
      </w:r>
    </w:p>
    <w:p w14:paraId="5AF3ABF6">
      <w:pPr>
        <w:pStyle w:val="90"/>
        <w:ind w:firstLine="560" w:firstLineChars="20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（一）在旱季，排空库内尾部少部分积水并进行晾晒，把库区前部较高处尾矿分层削坡（分层削坡厚度小于1.5</w:t>
      </w:r>
      <w:r>
        <w:rPr>
          <w:rFonts w:hint="eastAsia" w:cs="Times New Roman"/>
          <w:snapToGrid w:val="0"/>
          <w:color w:val="auto"/>
          <w:sz w:val="28"/>
          <w:szCs w:val="28"/>
          <w:lang w:val="en-US" w:eastAsia="zh-CN" w:bidi="ar-SA"/>
        </w:rPr>
        <w:t>m</w:t>
      </w:r>
      <w:r>
        <w:rPr>
          <w:rFonts w:hint="eastAsia" w:ascii="Times New Roman" w:hAnsi="Times New Roman" w:eastAsia="宋体" w:cs="Times New Roman"/>
          <w:snapToGrid w:val="0"/>
          <w:color w:val="auto"/>
          <w:sz w:val="28"/>
          <w:szCs w:val="28"/>
          <w:lang w:val="en-US" w:eastAsia="zh-CN" w:bidi="ar-SA"/>
        </w:rPr>
        <w:t>），采用推土机推至库区尾部低洼处碾压夯实（分层碾压夯实厚度小于0.5</w:t>
      </w:r>
      <w:r>
        <w:rPr>
          <w:rFonts w:hint="eastAsia" w:cs="Times New Roman"/>
          <w:snapToGrid w:val="0"/>
          <w:color w:val="auto"/>
          <w:sz w:val="28"/>
          <w:szCs w:val="28"/>
          <w:lang w:val="en-US" w:eastAsia="zh-CN" w:bidi="ar-SA"/>
        </w:rPr>
        <w:t>m</w:t>
      </w:r>
      <w:r>
        <w:rPr>
          <w:rFonts w:hint="eastAsia" w:ascii="Times New Roman" w:hAnsi="Times New Roman" w:eastAsia="宋体" w:cs="Times New Roman"/>
          <w:snapToGrid w:val="0"/>
          <w:color w:val="auto"/>
          <w:sz w:val="28"/>
          <w:szCs w:val="28"/>
          <w:lang w:val="en-US" w:eastAsia="zh-CN" w:bidi="ar-SA"/>
        </w:rPr>
        <w:t>，压实度不小于0.9），最终形成由库尾向坝前1%的顺坡坡度，削坡回填方量约6.0万</w:t>
      </w:r>
      <w:r>
        <w:rPr>
          <w:rFonts w:hint="eastAsia" w:cs="Times New Roman"/>
          <w:snapToGrid w:val="0"/>
          <w:color w:val="auto"/>
          <w:sz w:val="28"/>
          <w:szCs w:val="28"/>
          <w:vertAlign w:val="baseline"/>
          <w:lang w:val="en-US" w:eastAsia="zh-CN" w:bidi="ar-SA"/>
        </w:rPr>
        <w:t>m</w:t>
      </w:r>
      <w:r>
        <w:rPr>
          <w:rFonts w:hint="eastAsia" w:cs="Times New Roman"/>
          <w:snapToGrid w:val="0"/>
          <w:color w:val="auto"/>
          <w:sz w:val="28"/>
          <w:szCs w:val="28"/>
          <w:vertAlign w:val="superscript"/>
          <w:lang w:val="en-US" w:eastAsia="zh-CN" w:bidi="ar-SA"/>
        </w:rPr>
        <w:t>3</w:t>
      </w:r>
      <w:r>
        <w:rPr>
          <w:rFonts w:hint="eastAsia" w:ascii="Times New Roman" w:hAnsi="Times New Roman" w:eastAsia="宋体" w:cs="Times New Roman"/>
          <w:snapToGrid w:val="0"/>
          <w:color w:val="auto"/>
          <w:sz w:val="28"/>
          <w:szCs w:val="28"/>
          <w:lang w:val="en-US" w:eastAsia="zh-CN" w:bidi="ar-SA"/>
        </w:rPr>
        <w:t>。</w:t>
      </w:r>
    </w:p>
    <w:p w14:paraId="02DC9489">
      <w:pPr>
        <w:pStyle w:val="90"/>
        <w:ind w:firstLine="560" w:firstLineChars="20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（二）植被恢复</w:t>
      </w:r>
    </w:p>
    <w:p w14:paraId="3AAD8E41">
      <w:pPr>
        <w:pStyle w:val="90"/>
        <w:ind w:firstLine="560" w:firstLineChars="20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主要为防止风力扬尘的隔离措施：为控制尾矿滩面扬尘造成污染扩散，对库区裸地实施人工覆土、植被覆盖的水土保持措施。原有植被不得破坏。</w:t>
      </w:r>
    </w:p>
    <w:p w14:paraId="573D1D92">
      <w:pPr>
        <w:pStyle w:val="90"/>
        <w:ind w:firstLine="560" w:firstLineChars="20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（1）裸地覆土</w:t>
      </w:r>
    </w:p>
    <w:p w14:paraId="1044D855">
      <w:pPr>
        <w:pStyle w:val="90"/>
        <w:ind w:firstLine="560" w:firstLineChars="20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对场地进行人工覆土，库面覆土厚度约500</w:t>
      </w:r>
      <w:r>
        <w:rPr>
          <w:rFonts w:hint="eastAsia" w:cs="Times New Roman"/>
          <w:snapToGrid w:val="0"/>
          <w:color w:val="auto"/>
          <w:sz w:val="28"/>
          <w:szCs w:val="28"/>
          <w:lang w:val="en-US" w:eastAsia="zh-CN" w:bidi="ar-SA"/>
        </w:rPr>
        <w:t>mm</w:t>
      </w:r>
      <w:r>
        <w:rPr>
          <w:rFonts w:hint="eastAsia" w:ascii="Times New Roman" w:hAnsi="Times New Roman" w:eastAsia="宋体" w:cs="Times New Roman"/>
          <w:snapToGrid w:val="0"/>
          <w:color w:val="auto"/>
          <w:sz w:val="28"/>
          <w:szCs w:val="28"/>
          <w:lang w:val="en-US" w:eastAsia="zh-CN" w:bidi="ar-SA"/>
        </w:rPr>
        <w:t>，坡面覆土200</w:t>
      </w:r>
      <w:r>
        <w:rPr>
          <w:rFonts w:hint="eastAsia" w:cs="Times New Roman"/>
          <w:snapToGrid w:val="0"/>
          <w:color w:val="auto"/>
          <w:sz w:val="28"/>
          <w:szCs w:val="28"/>
          <w:lang w:val="en-US" w:eastAsia="zh-CN" w:bidi="ar-SA"/>
        </w:rPr>
        <w:t>mm</w:t>
      </w:r>
      <w:r>
        <w:rPr>
          <w:rFonts w:hint="eastAsia" w:ascii="Times New Roman" w:hAnsi="Times New Roman" w:eastAsia="宋体" w:cs="Times New Roman"/>
          <w:snapToGrid w:val="0"/>
          <w:color w:val="auto"/>
          <w:sz w:val="28"/>
          <w:szCs w:val="28"/>
          <w:lang w:val="en-US" w:eastAsia="zh-CN" w:bidi="ar-SA"/>
        </w:rPr>
        <w:t>，土料来源于附近表层剥离土。</w:t>
      </w:r>
    </w:p>
    <w:p w14:paraId="5B2AAFEB">
      <w:pPr>
        <w:pStyle w:val="90"/>
        <w:ind w:firstLine="560" w:firstLineChars="20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（2）植被覆盖</w:t>
      </w:r>
    </w:p>
    <w:p w14:paraId="7CCA73C9">
      <w:pPr>
        <w:pStyle w:val="90"/>
        <w:ind w:firstLine="560" w:firstLineChars="20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根据场地的实际情况，采取播撒草种进行植物种植设计。</w:t>
      </w:r>
    </w:p>
    <w:p w14:paraId="504C3BAD">
      <w:pPr>
        <w:pStyle w:val="90"/>
        <w:ind w:firstLine="560" w:firstLineChars="20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对裸露地表全面撒播黄茅、狗牙根。撒播可春播或秋播，春播以3~5月的湿润天气播种最为适宜，秋播宜在9月中旬之前进行。播种量120kg/h</w:t>
      </w:r>
      <w:r>
        <w:rPr>
          <w:rFonts w:hint="eastAsia" w:cs="Times New Roman"/>
          <w:snapToGrid w:val="0"/>
          <w:color w:val="auto"/>
          <w:sz w:val="28"/>
          <w:szCs w:val="28"/>
          <w:vertAlign w:val="baseline"/>
          <w:lang w:val="en-US" w:eastAsia="zh-CN" w:bidi="ar-SA"/>
        </w:rPr>
        <w:t>m</w:t>
      </w:r>
      <w:r>
        <w:rPr>
          <w:rFonts w:hint="eastAsia" w:cs="Times New Roman"/>
          <w:snapToGrid w:val="0"/>
          <w:color w:val="auto"/>
          <w:sz w:val="28"/>
          <w:szCs w:val="28"/>
          <w:vertAlign w:val="superscript"/>
          <w:lang w:val="en-US" w:eastAsia="zh-CN" w:bidi="ar-SA"/>
        </w:rPr>
        <w:t>2</w:t>
      </w:r>
      <w:r>
        <w:rPr>
          <w:rFonts w:hint="eastAsia" w:ascii="Times New Roman" w:hAnsi="Times New Roman" w:eastAsia="宋体" w:cs="Times New Roman"/>
          <w:snapToGrid w:val="0"/>
          <w:color w:val="auto"/>
          <w:sz w:val="28"/>
          <w:szCs w:val="28"/>
          <w:lang w:val="en-US" w:eastAsia="zh-CN" w:bidi="ar-SA"/>
        </w:rPr>
        <w:t>。播种前先将土壤整平、耙细，并将种子在60℃的温水中浸种1小时后再播种；播种后用耙子来回耙动，使种子充分入土，并稍加滚压，浇透水，保持土壤湿润。</w:t>
      </w:r>
    </w:p>
    <w:p w14:paraId="4C88EDCA">
      <w:pPr>
        <w:pStyle w:val="90"/>
        <w:ind w:firstLine="562" w:firstLineChars="200"/>
        <w:rPr>
          <w:rFonts w:hint="eastAsia"/>
          <w:color w:val="auto"/>
          <w:sz w:val="28"/>
          <w:szCs w:val="28"/>
          <w:lang w:val="en-US" w:eastAsia="zh-CN"/>
        </w:rPr>
      </w:pPr>
      <w:r>
        <w:rPr>
          <w:rFonts w:hint="eastAsia"/>
          <w:b/>
          <w:bCs/>
          <w:color w:val="auto"/>
          <w:sz w:val="28"/>
          <w:szCs w:val="28"/>
          <w:lang w:val="en-US" w:eastAsia="zh-CN"/>
        </w:rPr>
        <w:t>2、闭库工程建设情况</w:t>
      </w:r>
    </w:p>
    <w:p w14:paraId="650351B3">
      <w:pPr>
        <w:pStyle w:val="90"/>
        <w:ind w:firstLine="560" w:firstLineChars="200"/>
        <w:rPr>
          <w:rFonts w:hint="default" w:ascii="Times New Roman" w:hAnsi="Times New Roman" w:eastAsia="宋体" w:cs="Times New Roman"/>
          <w:spacing w:val="-3"/>
          <w:position w:val="9"/>
          <w:sz w:val="18"/>
          <w:szCs w:val="18"/>
          <w:vertAlign w:val="baseline"/>
          <w:lang w:val="en-US" w:eastAsia="zh-CN"/>
        </w:rPr>
      </w:pPr>
      <w:r>
        <w:rPr>
          <w:rFonts w:hint="eastAsia" w:ascii="Times New Roman" w:hAnsi="Times New Roman" w:eastAsia="宋体" w:cs="Times New Roman"/>
          <w:snapToGrid w:val="0"/>
          <w:color w:val="auto"/>
          <w:sz w:val="28"/>
          <w:szCs w:val="28"/>
          <w:lang w:val="en-US" w:eastAsia="zh-CN" w:bidi="ar-SA"/>
        </w:rPr>
        <w:t>经过现场勘查</w:t>
      </w:r>
      <w:r>
        <w:rPr>
          <w:rFonts w:hint="eastAsia" w:cs="Times New Roman"/>
          <w:snapToGrid w:val="0"/>
          <w:color w:val="auto"/>
          <w:sz w:val="28"/>
          <w:szCs w:val="28"/>
          <w:lang w:val="en-US" w:eastAsia="zh-CN" w:bidi="ar-SA"/>
        </w:rPr>
        <w:t>、查阅竣工图，</w:t>
      </w:r>
      <w:r>
        <w:rPr>
          <w:rFonts w:hint="eastAsia" w:ascii="Times New Roman" w:hAnsi="Times New Roman" w:eastAsia="宋体" w:cs="Times New Roman"/>
          <w:snapToGrid w:val="0"/>
          <w:color w:val="auto"/>
          <w:sz w:val="28"/>
          <w:szCs w:val="28"/>
          <w:lang w:val="en-US" w:eastAsia="zh-CN" w:bidi="ar-SA"/>
        </w:rPr>
        <w:t>施工单位已按照设计要求完成施工，</w:t>
      </w:r>
      <w:r>
        <w:rPr>
          <w:rFonts w:hint="eastAsia" w:cs="Times New Roman"/>
          <w:snapToGrid w:val="0"/>
          <w:color w:val="auto"/>
          <w:sz w:val="28"/>
          <w:szCs w:val="28"/>
          <w:lang w:val="en-US" w:eastAsia="zh-CN" w:bidi="ar-SA"/>
        </w:rPr>
        <w:t>在将库尾积水排出晾干后，从库区前部削坡推至库尾低洼处碾压夯实，现形成了库尾至坝前1%的顺坡坡度，查阅施工总结报告，开挖方量6.0万</w:t>
      </w:r>
      <w:r>
        <w:rPr>
          <w:rFonts w:hint="eastAsia" w:cs="Times New Roman"/>
          <w:snapToGrid w:val="0"/>
          <w:color w:val="auto"/>
          <w:sz w:val="28"/>
          <w:szCs w:val="28"/>
          <w:vertAlign w:val="baseline"/>
          <w:lang w:val="en-US" w:eastAsia="zh-CN" w:bidi="ar-SA"/>
        </w:rPr>
        <w:t>m</w:t>
      </w:r>
      <w:r>
        <w:rPr>
          <w:rFonts w:hint="eastAsia" w:cs="Times New Roman"/>
          <w:snapToGrid w:val="0"/>
          <w:color w:val="auto"/>
          <w:sz w:val="28"/>
          <w:szCs w:val="28"/>
          <w:vertAlign w:val="superscript"/>
          <w:lang w:val="en-US" w:eastAsia="zh-CN" w:bidi="ar-SA"/>
        </w:rPr>
        <w:t>3</w:t>
      </w:r>
      <w:r>
        <w:rPr>
          <w:rFonts w:hint="eastAsia" w:cs="Times New Roman"/>
          <w:snapToGrid w:val="0"/>
          <w:color w:val="auto"/>
          <w:sz w:val="28"/>
          <w:szCs w:val="28"/>
          <w:lang w:val="en-US" w:eastAsia="zh-CN" w:bidi="ar-SA"/>
        </w:rPr>
        <w:t>，回填方量6.00万</w:t>
      </w:r>
      <w:r>
        <w:rPr>
          <w:rFonts w:hint="eastAsia" w:cs="Times New Roman"/>
          <w:snapToGrid w:val="0"/>
          <w:color w:val="auto"/>
          <w:sz w:val="28"/>
          <w:szCs w:val="28"/>
          <w:vertAlign w:val="baseline"/>
          <w:lang w:val="en-US" w:eastAsia="zh-CN" w:bidi="ar-SA"/>
        </w:rPr>
        <w:t>m</w:t>
      </w:r>
      <w:r>
        <w:rPr>
          <w:rFonts w:hint="eastAsia" w:cs="Times New Roman"/>
          <w:snapToGrid w:val="0"/>
          <w:color w:val="auto"/>
          <w:sz w:val="28"/>
          <w:szCs w:val="28"/>
          <w:vertAlign w:val="superscript"/>
          <w:lang w:val="en-US" w:eastAsia="zh-CN" w:bidi="ar-SA"/>
        </w:rPr>
        <w:t>3</w:t>
      </w:r>
      <w:r>
        <w:rPr>
          <w:rFonts w:hint="eastAsia" w:cs="Times New Roman"/>
          <w:snapToGrid w:val="0"/>
          <w:color w:val="auto"/>
          <w:sz w:val="28"/>
          <w:szCs w:val="28"/>
          <w:vertAlign w:val="baseline"/>
          <w:lang w:val="en-US" w:eastAsia="zh-CN" w:bidi="ar-SA"/>
        </w:rPr>
        <w:t>。</w:t>
      </w:r>
    </w:p>
    <w:p w14:paraId="07B67D7C">
      <w:pPr>
        <w:pStyle w:val="90"/>
        <w:ind w:firstLine="560" w:firstLineChars="20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经过现场勘查，施工单位已从附近表层剥离土料对滩面进行了覆土，查阅施工总结报告，共计覆土</w:t>
      </w:r>
      <w:r>
        <w:rPr>
          <w:rFonts w:hint="default" w:ascii="Times New Roman" w:hAnsi="Times New Roman" w:eastAsia="宋体" w:cs="Times New Roman"/>
          <w:snapToGrid w:val="0"/>
          <w:color w:val="auto"/>
          <w:sz w:val="28"/>
          <w:szCs w:val="28"/>
          <w:lang w:val="en-US" w:eastAsia="zh-CN" w:bidi="ar-SA"/>
        </w:rPr>
        <w:t>28755</w:t>
      </w:r>
      <w:r>
        <w:rPr>
          <w:rFonts w:hint="eastAsia" w:cs="Times New Roman"/>
          <w:snapToGrid w:val="0"/>
          <w:color w:val="auto"/>
          <w:sz w:val="28"/>
          <w:szCs w:val="28"/>
          <w:vertAlign w:val="baseline"/>
          <w:lang w:val="en-US" w:eastAsia="zh-CN" w:bidi="ar-SA"/>
        </w:rPr>
        <w:t>m</w:t>
      </w:r>
      <w:r>
        <w:rPr>
          <w:rFonts w:hint="eastAsia" w:cs="Times New Roman"/>
          <w:snapToGrid w:val="0"/>
          <w:color w:val="auto"/>
          <w:sz w:val="28"/>
          <w:szCs w:val="28"/>
          <w:vertAlign w:val="superscript"/>
          <w:lang w:val="en-US" w:eastAsia="zh-CN" w:bidi="ar-SA"/>
        </w:rPr>
        <w:t>3</w:t>
      </w:r>
      <w:r>
        <w:rPr>
          <w:rFonts w:hint="eastAsia" w:ascii="Times New Roman" w:hAnsi="Times New Roman" w:eastAsia="宋体" w:cs="Times New Roman"/>
          <w:snapToGrid w:val="0"/>
          <w:color w:val="auto"/>
          <w:sz w:val="28"/>
          <w:szCs w:val="28"/>
          <w:lang w:val="en-US" w:eastAsia="zh-CN" w:bidi="ar-SA"/>
        </w:rPr>
        <w:t>，覆土厚度0.5</w:t>
      </w:r>
      <w:r>
        <w:rPr>
          <w:rFonts w:hint="eastAsia" w:cs="Times New Roman"/>
          <w:snapToGrid w:val="0"/>
          <w:color w:val="auto"/>
          <w:sz w:val="28"/>
          <w:szCs w:val="28"/>
          <w:lang w:val="en-US" w:eastAsia="zh-CN" w:bidi="ar-SA"/>
        </w:rPr>
        <w:t>m</w:t>
      </w:r>
      <w:r>
        <w:rPr>
          <w:rFonts w:hint="eastAsia" w:ascii="Times New Roman" w:hAnsi="Times New Roman" w:eastAsia="宋体" w:cs="Times New Roman"/>
          <w:snapToGrid w:val="0"/>
          <w:color w:val="auto"/>
          <w:sz w:val="28"/>
          <w:szCs w:val="28"/>
          <w:lang w:val="en-US" w:eastAsia="zh-CN" w:bidi="ar-SA"/>
        </w:rPr>
        <w:t>。</w:t>
      </w:r>
    </w:p>
    <w:p w14:paraId="68D0543C">
      <w:pPr>
        <w:pStyle w:val="90"/>
        <w:ind w:firstLine="560" w:firstLineChars="20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经过现场勘查，</w:t>
      </w:r>
      <w:r>
        <w:rPr>
          <w:rFonts w:hint="eastAsia" w:cs="Times New Roman"/>
          <w:snapToGrid w:val="0"/>
          <w:color w:val="auto"/>
          <w:sz w:val="28"/>
          <w:szCs w:val="28"/>
          <w:lang w:val="en-US" w:eastAsia="zh-CN" w:bidi="ar-SA"/>
        </w:rPr>
        <w:t>目前</w:t>
      </w:r>
      <w:r>
        <w:rPr>
          <w:rFonts w:hint="eastAsia" w:ascii="Times New Roman" w:hAnsi="Times New Roman" w:eastAsia="宋体" w:cs="Times New Roman"/>
          <w:snapToGrid w:val="0"/>
          <w:color w:val="auto"/>
          <w:sz w:val="28"/>
          <w:szCs w:val="28"/>
          <w:lang w:val="en-US" w:eastAsia="zh-CN" w:bidi="ar-SA"/>
        </w:rPr>
        <w:t>植被未进行覆盖，</w:t>
      </w:r>
      <w:r>
        <w:rPr>
          <w:rFonts w:hint="eastAsia" w:cs="Times New Roman"/>
          <w:snapToGrid w:val="0"/>
          <w:color w:val="auto"/>
          <w:sz w:val="28"/>
          <w:szCs w:val="28"/>
          <w:lang w:val="en-US" w:eastAsia="zh-CN" w:bidi="ar-SA"/>
        </w:rPr>
        <w:t>了解得知</w:t>
      </w:r>
      <w:r>
        <w:rPr>
          <w:rFonts w:hint="eastAsia" w:ascii="Times New Roman" w:hAnsi="Times New Roman" w:eastAsia="宋体" w:cs="Times New Roman"/>
          <w:snapToGrid w:val="0"/>
          <w:color w:val="auto"/>
          <w:sz w:val="28"/>
          <w:szCs w:val="28"/>
          <w:lang w:val="en-US" w:eastAsia="zh-CN" w:bidi="ar-SA"/>
        </w:rPr>
        <w:t>因周边村民对闭库后的库区土地归属存在争议，目前，施工单位、建设单位、当地政府正在积极协商解决。</w:t>
      </w:r>
    </w:p>
    <w:tbl>
      <w:tblPr>
        <w:tblStyle w:val="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6"/>
        <w:gridCol w:w="4701"/>
      </w:tblGrid>
      <w:tr w14:paraId="02464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39" w:type="dxa"/>
          </w:tcPr>
          <w:p w14:paraId="67028F0E">
            <w:pPr>
              <w:pStyle w:val="90"/>
              <w:jc w:val="both"/>
              <w:rPr>
                <w:rFonts w:hint="default"/>
                <w:color w:val="auto"/>
                <w:vertAlign w:val="baseline"/>
                <w:lang w:val="en-US" w:eastAsia="zh-CN"/>
              </w:rPr>
            </w:pPr>
            <w:r>
              <w:rPr>
                <w:position w:val="-128"/>
              </w:rPr>
              <w:drawing>
                <wp:inline distT="0" distB="0" distL="0" distR="0">
                  <wp:extent cx="2853690" cy="1910080"/>
                  <wp:effectExtent l="0" t="0" r="3810" b="762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25"/>
                          <a:stretch>
                            <a:fillRect/>
                          </a:stretch>
                        </pic:blipFill>
                        <pic:spPr>
                          <a:xfrm>
                            <a:off x="0" y="0"/>
                            <a:ext cx="2853690" cy="1910080"/>
                          </a:xfrm>
                          <a:prstGeom prst="rect">
                            <a:avLst/>
                          </a:prstGeom>
                        </pic:spPr>
                      </pic:pic>
                    </a:graphicData>
                  </a:graphic>
                </wp:inline>
              </w:drawing>
            </w:r>
          </w:p>
        </w:tc>
        <w:tc>
          <w:tcPr>
            <w:tcW w:w="4436" w:type="dxa"/>
          </w:tcPr>
          <w:p w14:paraId="69EB173B">
            <w:pPr>
              <w:pStyle w:val="90"/>
              <w:jc w:val="both"/>
              <w:rPr>
                <w:rFonts w:hint="default"/>
                <w:color w:val="auto"/>
                <w:vertAlign w:val="baseline"/>
                <w:lang w:val="en-US" w:eastAsia="zh-CN"/>
              </w:rPr>
            </w:pPr>
            <w:r>
              <w:drawing>
                <wp:inline distT="0" distB="0" distL="114300" distR="114300">
                  <wp:extent cx="2966085" cy="1906270"/>
                  <wp:effectExtent l="0" t="0" r="5715" b="11430"/>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26"/>
                          <a:stretch>
                            <a:fillRect/>
                          </a:stretch>
                        </pic:blipFill>
                        <pic:spPr>
                          <a:xfrm>
                            <a:off x="0" y="0"/>
                            <a:ext cx="2966085" cy="1906270"/>
                          </a:xfrm>
                          <a:prstGeom prst="rect">
                            <a:avLst/>
                          </a:prstGeom>
                          <a:noFill/>
                          <a:ln>
                            <a:noFill/>
                          </a:ln>
                        </pic:spPr>
                      </pic:pic>
                    </a:graphicData>
                  </a:graphic>
                </wp:inline>
              </w:drawing>
            </w:r>
          </w:p>
        </w:tc>
      </w:tr>
      <w:tr w14:paraId="6F581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39" w:type="dxa"/>
          </w:tcPr>
          <w:p w14:paraId="2F273CDE">
            <w:pPr>
              <w:pStyle w:val="90"/>
              <w:jc w:val="center"/>
              <w:rPr>
                <w:rFonts w:hint="eastAsia"/>
                <w:color w:val="auto"/>
                <w:vertAlign w:val="baseline"/>
                <w:lang w:val="en-US" w:eastAsia="zh-CN"/>
              </w:rPr>
            </w:pPr>
            <w:r>
              <w:rPr>
                <w:position w:val="-119"/>
              </w:rPr>
              <w:drawing>
                <wp:inline distT="0" distB="0" distL="0" distR="0">
                  <wp:extent cx="2886075" cy="2058670"/>
                  <wp:effectExtent l="0" t="0" r="9525" b="1143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27"/>
                          <a:stretch>
                            <a:fillRect/>
                          </a:stretch>
                        </pic:blipFill>
                        <pic:spPr>
                          <a:xfrm>
                            <a:off x="0" y="0"/>
                            <a:ext cx="2886075" cy="2058670"/>
                          </a:xfrm>
                          <a:prstGeom prst="rect">
                            <a:avLst/>
                          </a:prstGeom>
                        </pic:spPr>
                      </pic:pic>
                    </a:graphicData>
                  </a:graphic>
                </wp:inline>
              </w:drawing>
            </w:r>
          </w:p>
        </w:tc>
        <w:tc>
          <w:tcPr>
            <w:tcW w:w="4436" w:type="dxa"/>
          </w:tcPr>
          <w:p w14:paraId="2CD67345">
            <w:pPr>
              <w:pStyle w:val="90"/>
              <w:jc w:val="both"/>
              <w:rPr>
                <w:rFonts w:hint="default"/>
                <w:color w:val="auto"/>
                <w:vertAlign w:val="baseline"/>
                <w:lang w:val="en-US" w:eastAsia="zh-CN"/>
              </w:rPr>
            </w:pPr>
            <w:r>
              <w:rPr>
                <w:rFonts w:hint="default"/>
                <w:color w:val="auto"/>
                <w:vertAlign w:val="baseline"/>
                <w:lang w:val="en-US" w:eastAsia="zh-CN"/>
              </w:rPr>
              <w:drawing>
                <wp:inline distT="0" distB="0" distL="114300" distR="114300">
                  <wp:extent cx="2844800" cy="2037080"/>
                  <wp:effectExtent l="0" t="0" r="0" b="7620"/>
                  <wp:docPr id="5" name="图片 5" descr="adeaddeea016e1316db153ebb71f3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deaddeea016e1316db153ebb71f39f"/>
                          <pic:cNvPicPr>
                            <a:picLocks noChangeAspect="1"/>
                          </pic:cNvPicPr>
                        </pic:nvPicPr>
                        <pic:blipFill>
                          <a:blip r:embed="rId28"/>
                          <a:stretch>
                            <a:fillRect/>
                          </a:stretch>
                        </pic:blipFill>
                        <pic:spPr>
                          <a:xfrm>
                            <a:off x="0" y="0"/>
                            <a:ext cx="2844800" cy="2037080"/>
                          </a:xfrm>
                          <a:prstGeom prst="rect">
                            <a:avLst/>
                          </a:prstGeom>
                        </pic:spPr>
                      </pic:pic>
                    </a:graphicData>
                  </a:graphic>
                </wp:inline>
              </w:drawing>
            </w:r>
          </w:p>
        </w:tc>
      </w:tr>
      <w:tr w14:paraId="0D318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39" w:type="dxa"/>
          </w:tcPr>
          <w:p w14:paraId="758B0095">
            <w:pPr>
              <w:pStyle w:val="90"/>
              <w:jc w:val="center"/>
              <w:rPr>
                <w:rFonts w:hint="default"/>
                <w:color w:val="auto"/>
                <w:vertAlign w:val="baseline"/>
                <w:lang w:val="en-US" w:eastAsia="zh-CN"/>
              </w:rPr>
            </w:pPr>
            <w:r>
              <w:rPr>
                <w:rFonts w:hint="eastAsia"/>
                <w:color w:val="auto"/>
                <w:vertAlign w:val="baseline"/>
                <w:lang w:val="en-US" w:eastAsia="zh-CN"/>
              </w:rPr>
              <w:t>闭库前滩面</w:t>
            </w:r>
          </w:p>
        </w:tc>
        <w:tc>
          <w:tcPr>
            <w:tcW w:w="4436" w:type="dxa"/>
          </w:tcPr>
          <w:p w14:paraId="5F68C94D">
            <w:pPr>
              <w:pStyle w:val="90"/>
              <w:jc w:val="center"/>
              <w:rPr>
                <w:rFonts w:hint="default"/>
                <w:color w:val="auto"/>
                <w:vertAlign w:val="baseline"/>
                <w:lang w:val="en-US" w:eastAsia="zh-CN"/>
              </w:rPr>
            </w:pPr>
            <w:r>
              <w:rPr>
                <w:rFonts w:hint="eastAsia"/>
                <w:color w:val="auto"/>
                <w:vertAlign w:val="baseline"/>
                <w:lang w:val="en-US" w:eastAsia="zh-CN"/>
              </w:rPr>
              <w:t>削坡、平整、覆土复绿后滩面</w:t>
            </w:r>
          </w:p>
        </w:tc>
      </w:tr>
    </w:tbl>
    <w:p w14:paraId="3F11E54A">
      <w:pPr>
        <w:pStyle w:val="5"/>
        <w:outlineLvl w:val="2"/>
        <w:rPr>
          <w:color w:val="auto"/>
        </w:rPr>
      </w:pPr>
      <w:bookmarkStart w:id="284" w:name="_Toc3841"/>
      <w:bookmarkStart w:id="285" w:name="_Toc29944"/>
      <w:r>
        <w:rPr>
          <w:rFonts w:hint="eastAsia"/>
          <w:color w:val="auto"/>
        </w:rPr>
        <w:t>闭库后防排洪系统</w:t>
      </w:r>
      <w:bookmarkEnd w:id="284"/>
      <w:bookmarkEnd w:id="285"/>
    </w:p>
    <w:p w14:paraId="30CBD933">
      <w:pPr>
        <w:pStyle w:val="6"/>
        <w:outlineLvl w:val="3"/>
        <w:rPr>
          <w:color w:val="auto"/>
        </w:rPr>
      </w:pPr>
      <w:bookmarkStart w:id="286" w:name="_Ref106808609"/>
      <w:r>
        <w:rPr>
          <w:color w:val="auto"/>
        </w:rPr>
        <w:t>防洪标准</w:t>
      </w:r>
    </w:p>
    <w:p w14:paraId="14ED2F03">
      <w:pPr>
        <w:ind w:firstLine="560"/>
        <w:rPr>
          <w:rFonts w:hint="default" w:ascii="Times New Roman" w:hAnsi="Times New Roman" w:eastAsia="宋体" w:cs="Times New Roman"/>
          <w:b/>
          <w:bCs/>
          <w:snapToGrid w:val="0"/>
          <w:color w:val="auto"/>
          <w:sz w:val="28"/>
          <w:szCs w:val="28"/>
          <w:lang w:val="en-US" w:eastAsia="zh-CN" w:bidi="ar-SA"/>
        </w:rPr>
      </w:pPr>
      <w:r>
        <w:rPr>
          <w:rFonts w:hint="eastAsia" w:cs="Times New Roman"/>
          <w:b/>
          <w:bCs/>
          <w:snapToGrid w:val="0"/>
          <w:color w:val="auto"/>
          <w:sz w:val="28"/>
          <w:szCs w:val="28"/>
          <w:lang w:val="en-US" w:eastAsia="zh-CN" w:bidi="ar-SA"/>
        </w:rPr>
        <w:t>1、闭库设计情况</w:t>
      </w:r>
    </w:p>
    <w:p w14:paraId="26110E4C">
      <w:pPr>
        <w:ind w:firstLine="56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整治闭库后，尾矿库为四等库，本次洪水采用200年（P=0.5%）一遇洪水重现期来进行设防，进行现状闭库。</w:t>
      </w:r>
    </w:p>
    <w:p w14:paraId="689C2926">
      <w:pPr>
        <w:pStyle w:val="90"/>
        <w:ind w:firstLine="562" w:firstLineChars="200"/>
        <w:rPr>
          <w:rFonts w:hint="eastAsia"/>
          <w:color w:val="auto"/>
          <w:sz w:val="28"/>
          <w:szCs w:val="28"/>
          <w:lang w:val="en-US" w:eastAsia="zh-CN"/>
        </w:rPr>
      </w:pPr>
      <w:r>
        <w:rPr>
          <w:rFonts w:hint="eastAsia"/>
          <w:b/>
          <w:bCs/>
          <w:color w:val="auto"/>
          <w:sz w:val="28"/>
          <w:szCs w:val="28"/>
          <w:lang w:val="en-US" w:eastAsia="zh-CN"/>
        </w:rPr>
        <w:t>2、闭库工程建设情况</w:t>
      </w:r>
    </w:p>
    <w:p w14:paraId="3F4699BC">
      <w:pPr>
        <w:pStyle w:val="90"/>
        <w:ind w:firstLine="560" w:firstLineChars="200"/>
        <w:rPr>
          <w:rFonts w:hint="eastAsia"/>
          <w:color w:val="auto"/>
          <w:lang w:val="en-US" w:eastAsia="zh-CN"/>
        </w:rPr>
      </w:pPr>
      <w:r>
        <w:rPr>
          <w:rFonts w:hint="eastAsia" w:ascii="Times New Roman" w:hAnsi="Times New Roman" w:eastAsia="宋体" w:cs="Times New Roman"/>
          <w:snapToGrid w:val="0"/>
          <w:color w:val="auto"/>
          <w:sz w:val="28"/>
          <w:szCs w:val="28"/>
          <w:lang w:val="en-US" w:eastAsia="zh-CN" w:bidi="ar-SA"/>
        </w:rPr>
        <w:t>经过现场勘查</w:t>
      </w:r>
      <w:r>
        <w:rPr>
          <w:rFonts w:hint="eastAsia" w:cs="Times New Roman"/>
          <w:snapToGrid w:val="0"/>
          <w:color w:val="auto"/>
          <w:sz w:val="28"/>
          <w:szCs w:val="28"/>
          <w:lang w:val="en-US" w:eastAsia="zh-CN" w:bidi="ar-SA"/>
        </w:rPr>
        <w:t>及查阅施工报告，</w:t>
      </w:r>
      <w:r>
        <w:rPr>
          <w:rFonts w:hint="eastAsia" w:ascii="Times New Roman" w:hAnsi="Times New Roman" w:eastAsia="宋体" w:cs="Times New Roman"/>
          <w:snapToGrid w:val="0"/>
          <w:color w:val="auto"/>
          <w:sz w:val="28"/>
          <w:szCs w:val="28"/>
          <w:lang w:val="en-US" w:eastAsia="zh-CN" w:bidi="ar-SA"/>
        </w:rPr>
        <w:t>施工单位已按照设计</w:t>
      </w:r>
      <w:r>
        <w:rPr>
          <w:rFonts w:hint="eastAsia" w:cs="Times New Roman"/>
          <w:snapToGrid w:val="0"/>
          <w:color w:val="auto"/>
          <w:sz w:val="28"/>
          <w:szCs w:val="28"/>
          <w:lang w:val="en-US" w:eastAsia="zh-CN" w:bidi="ar-SA"/>
        </w:rPr>
        <w:t>的防洪标准</w:t>
      </w:r>
      <w:r>
        <w:rPr>
          <w:rFonts w:hint="eastAsia" w:ascii="Times New Roman" w:hAnsi="Times New Roman" w:eastAsia="宋体" w:cs="Times New Roman"/>
          <w:snapToGrid w:val="0"/>
          <w:color w:val="auto"/>
          <w:sz w:val="28"/>
          <w:szCs w:val="28"/>
          <w:lang w:val="en-US" w:eastAsia="zh-CN" w:bidi="ar-SA"/>
        </w:rPr>
        <w:t>完成</w:t>
      </w:r>
      <w:r>
        <w:rPr>
          <w:rFonts w:hint="eastAsia" w:cs="Times New Roman"/>
          <w:snapToGrid w:val="0"/>
          <w:color w:val="auto"/>
          <w:sz w:val="28"/>
          <w:szCs w:val="28"/>
          <w:lang w:val="en-US" w:eastAsia="zh-CN" w:bidi="ar-SA"/>
        </w:rPr>
        <w:t>防排洪设施的</w:t>
      </w:r>
      <w:r>
        <w:rPr>
          <w:rFonts w:hint="eastAsia" w:ascii="Times New Roman" w:hAnsi="Times New Roman" w:eastAsia="宋体" w:cs="Times New Roman"/>
          <w:snapToGrid w:val="0"/>
          <w:color w:val="auto"/>
          <w:sz w:val="28"/>
          <w:szCs w:val="28"/>
          <w:lang w:val="en-US" w:eastAsia="zh-CN" w:bidi="ar-SA"/>
        </w:rPr>
        <w:t>施工</w:t>
      </w:r>
      <w:r>
        <w:rPr>
          <w:rFonts w:hint="eastAsia" w:cs="Times New Roman"/>
          <w:snapToGrid w:val="0"/>
          <w:color w:val="auto"/>
          <w:sz w:val="28"/>
          <w:szCs w:val="28"/>
          <w:lang w:val="en-US" w:eastAsia="zh-CN" w:bidi="ar-SA"/>
        </w:rPr>
        <w:t>。</w:t>
      </w:r>
    </w:p>
    <w:p w14:paraId="576AB508">
      <w:pPr>
        <w:pStyle w:val="6"/>
        <w:outlineLvl w:val="3"/>
        <w:rPr>
          <w:color w:val="auto"/>
        </w:rPr>
      </w:pPr>
      <w:r>
        <w:rPr>
          <w:rFonts w:hint="eastAsia"/>
          <w:color w:val="auto"/>
          <w:lang w:val="en-US" w:eastAsia="zh-CN"/>
        </w:rPr>
        <w:t>闭库设计</w:t>
      </w:r>
      <w:r>
        <w:rPr>
          <w:color w:val="auto"/>
        </w:rPr>
        <w:t>洪水计算</w:t>
      </w:r>
    </w:p>
    <w:p w14:paraId="0773296D">
      <w:r>
        <w:t>1、洪水计算参数的确定</w:t>
      </w:r>
    </w:p>
    <w:p w14:paraId="2781B78C">
      <w:r>
        <w:t>（1）汇水面积</w:t>
      </w:r>
    </w:p>
    <w:p w14:paraId="17641E4E">
      <w:r>
        <w:t>根据勘察报告及在地形图圈得尾矿库汇水面积为0.42k</w:t>
      </w:r>
      <w:r>
        <w:rPr>
          <w:rFonts w:hint="eastAsia"/>
          <w:vertAlign w:val="baseline"/>
          <w:lang w:eastAsia="zh-CN"/>
        </w:rPr>
        <w:t>m</w:t>
      </w:r>
      <w:r>
        <w:rPr>
          <w:rFonts w:hint="eastAsia"/>
          <w:vertAlign w:val="superscript"/>
          <w:lang w:eastAsia="zh-CN"/>
        </w:rPr>
        <w:t>2</w:t>
      </w:r>
      <w:r>
        <w:t>。</w:t>
      </w:r>
    </w:p>
    <w:p w14:paraId="65CD2CD8">
      <w:r>
        <w:t>（2）迳流长度和流域底坡</w:t>
      </w:r>
    </w:p>
    <w:p w14:paraId="50463029">
      <w:pPr>
        <w:rPr>
          <w:rFonts w:hint="eastAsia" w:eastAsia="宋体"/>
          <w:lang w:eastAsia="zh-CN"/>
        </w:rPr>
      </w:pPr>
      <w:r>
        <w:t>迳流长：L=1.55k</w:t>
      </w:r>
      <w:r>
        <w:rPr>
          <w:rFonts w:hint="eastAsia"/>
          <w:lang w:eastAsia="zh-CN"/>
        </w:rPr>
        <w:t>m</w:t>
      </w:r>
    </w:p>
    <w:p w14:paraId="6C42C528">
      <w:r>
        <w:t>流域底坡J=0.15</w:t>
      </w:r>
    </w:p>
    <w:p w14:paraId="6374729D">
      <w:r>
        <w:t>（3）设计暴雨根据云南省暴雨洪水查算图表（2007年），工程点的年最大一日暴雨均值及相关参数如下：</w:t>
      </w:r>
    </w:p>
    <w:p w14:paraId="05E27C5F">
      <w:r>
        <w:t>H</w:t>
      </w:r>
      <w:r>
        <w:rPr>
          <w:vertAlign w:val="subscript"/>
        </w:rPr>
        <w:t>24</w:t>
      </w:r>
      <w:r>
        <w:t>=70.0</w:t>
      </w:r>
      <w:r>
        <w:rPr>
          <w:rFonts w:hint="eastAsia"/>
          <w:lang w:eastAsia="zh-CN"/>
        </w:rPr>
        <w:t>mm</w:t>
      </w:r>
      <w:r>
        <w:t>；C</w:t>
      </w:r>
      <w:r>
        <w:rPr>
          <w:vertAlign w:val="subscript"/>
        </w:rPr>
        <w:t>V</w:t>
      </w:r>
      <w:r>
        <w:t>=0.36；C</w:t>
      </w:r>
      <w:r>
        <w:rPr>
          <w:vertAlign w:val="subscript"/>
        </w:rPr>
        <w:t>S</w:t>
      </w:r>
      <w:r>
        <w:t>=3.5CV；n</w:t>
      </w:r>
      <w:r>
        <w:rPr>
          <w:vertAlign w:val="subscript"/>
        </w:rPr>
        <w:t>1</w:t>
      </w:r>
      <w:r>
        <w:t>=0.36；n</w:t>
      </w:r>
      <w:r>
        <w:rPr>
          <w:vertAlign w:val="subscript"/>
        </w:rPr>
        <w:t>2</w:t>
      </w:r>
      <w:r>
        <w:t>=0.75。其中，C</w:t>
      </w:r>
      <w:r>
        <w:rPr>
          <w:vertAlign w:val="subscript"/>
        </w:rPr>
        <w:t>V</w:t>
      </w:r>
      <w:r>
        <w:t>和C</w:t>
      </w:r>
      <w:r>
        <w:rPr>
          <w:vertAlign w:val="subscript"/>
        </w:rPr>
        <w:t>S</w:t>
      </w:r>
      <w:r>
        <w:t>分别为年最大暴雨变差系数和偏态系数。</w:t>
      </w:r>
    </w:p>
    <w:p w14:paraId="3F308EF2">
      <w:pPr>
        <w:ind w:left="0" w:leftChars="0" w:firstLine="0" w:firstLineChars="0"/>
        <w:jc w:val="center"/>
        <w:rPr>
          <w:b/>
          <w:bCs/>
          <w:sz w:val="24"/>
          <w:szCs w:val="24"/>
        </w:rPr>
      </w:pPr>
      <w:r>
        <w:rPr>
          <w:b/>
          <w:bCs/>
          <w:sz w:val="24"/>
          <w:szCs w:val="24"/>
        </w:rPr>
        <w:t>表4-7最大一日暴雨计算结果</w:t>
      </w:r>
    </w:p>
    <w:tbl>
      <w:tblPr>
        <w:tblStyle w:val="308"/>
        <w:tblW w:w="8860"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16"/>
        <w:gridCol w:w="3316"/>
        <w:gridCol w:w="3328"/>
      </w:tblGrid>
      <w:tr w14:paraId="1761A1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2216" w:type="dxa"/>
            <w:vMerge w:val="restart"/>
            <w:tcBorders>
              <w:top w:val="single" w:color="000000" w:sz="6" w:space="0"/>
              <w:left w:val="single" w:color="000000" w:sz="6" w:space="0"/>
              <w:bottom w:val="nil"/>
            </w:tcBorders>
            <w:vAlign w:val="center"/>
          </w:tcPr>
          <w:p w14:paraId="46DBB08C">
            <w:pPr>
              <w:spacing w:line="240" w:lineRule="auto"/>
              <w:jc w:val="center"/>
              <w:rPr>
                <w:rFonts w:hint="eastAsia" w:asciiTheme="minorEastAsia" w:hAnsiTheme="minorEastAsia" w:eastAsiaTheme="minorEastAsia" w:cstheme="minorEastAsia"/>
                <w:sz w:val="24"/>
                <w:szCs w:val="24"/>
              </w:rPr>
            </w:pPr>
          </w:p>
          <w:p w14:paraId="3948B78E">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名称</w:t>
            </w:r>
          </w:p>
        </w:tc>
        <w:tc>
          <w:tcPr>
            <w:tcW w:w="6644" w:type="dxa"/>
            <w:gridSpan w:val="2"/>
            <w:tcBorders>
              <w:top w:val="single" w:color="000000" w:sz="6" w:space="0"/>
              <w:right w:val="single" w:color="000000" w:sz="6" w:space="0"/>
            </w:tcBorders>
            <w:vAlign w:val="center"/>
          </w:tcPr>
          <w:p w14:paraId="63192AD2">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频率（P）</w:t>
            </w:r>
          </w:p>
        </w:tc>
      </w:tr>
      <w:tr w14:paraId="0BFDE0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2216" w:type="dxa"/>
            <w:vMerge w:val="continue"/>
            <w:tcBorders>
              <w:top w:val="nil"/>
              <w:left w:val="single" w:color="000000" w:sz="6" w:space="0"/>
            </w:tcBorders>
            <w:vAlign w:val="center"/>
          </w:tcPr>
          <w:p w14:paraId="6DCA698C">
            <w:pPr>
              <w:spacing w:line="240" w:lineRule="auto"/>
              <w:jc w:val="center"/>
              <w:rPr>
                <w:rFonts w:hint="eastAsia" w:asciiTheme="minorEastAsia" w:hAnsiTheme="minorEastAsia" w:eastAsiaTheme="minorEastAsia" w:cstheme="minorEastAsia"/>
                <w:sz w:val="24"/>
                <w:szCs w:val="24"/>
              </w:rPr>
            </w:pPr>
          </w:p>
        </w:tc>
        <w:tc>
          <w:tcPr>
            <w:tcW w:w="3316" w:type="dxa"/>
            <w:tcBorders>
              <w:right w:val="single" w:color="000000" w:sz="6" w:space="0"/>
            </w:tcBorders>
            <w:vAlign w:val="center"/>
          </w:tcPr>
          <w:p w14:paraId="6B47DF96">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100年一遇</w:t>
            </w:r>
          </w:p>
        </w:tc>
        <w:tc>
          <w:tcPr>
            <w:tcW w:w="3328" w:type="dxa"/>
            <w:tcBorders>
              <w:left w:val="single" w:color="000000" w:sz="6" w:space="0"/>
              <w:right w:val="single" w:color="000000" w:sz="6" w:space="0"/>
            </w:tcBorders>
            <w:vAlign w:val="center"/>
          </w:tcPr>
          <w:p w14:paraId="14174CBC">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200年一遇</w:t>
            </w:r>
          </w:p>
        </w:tc>
      </w:tr>
      <w:tr w14:paraId="6A6882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216" w:type="dxa"/>
            <w:tcBorders>
              <w:left w:val="single" w:color="000000" w:sz="6" w:space="0"/>
            </w:tcBorders>
            <w:vAlign w:val="center"/>
          </w:tcPr>
          <w:p w14:paraId="28D89BE1">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drawing>
                <wp:anchor distT="0" distB="0" distL="0" distR="0" simplePos="0" relativeHeight="251661312" behindDoc="1" locked="0" layoutInCell="1" allowOverlap="1">
                  <wp:simplePos x="0" y="0"/>
                  <wp:positionH relativeFrom="rightMargin">
                    <wp:posOffset>-979805</wp:posOffset>
                  </wp:positionH>
                  <wp:positionV relativeFrom="topMargin">
                    <wp:posOffset>36195</wp:posOffset>
                  </wp:positionV>
                  <wp:extent cx="114300" cy="9525"/>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29"/>
                          <a:stretch>
                            <a:fillRect/>
                          </a:stretch>
                        </pic:blipFill>
                        <pic:spPr>
                          <a:xfrm>
                            <a:off x="0" y="0"/>
                            <a:ext cx="114300" cy="9525"/>
                          </a:xfrm>
                          <a:prstGeom prst="rect">
                            <a:avLst/>
                          </a:prstGeom>
                        </pic:spPr>
                      </pic:pic>
                    </a:graphicData>
                  </a:graphic>
                </wp:anchor>
              </w:drawing>
            </w:r>
            <w:r>
              <w:rPr>
                <w:rFonts w:hint="eastAsia" w:asciiTheme="minorEastAsia" w:hAnsiTheme="minorEastAsia" w:eastAsiaTheme="minorEastAsia" w:cstheme="minorEastAsia"/>
                <w:sz w:val="24"/>
                <w:szCs w:val="24"/>
              </w:rPr>
              <w:t>H</w:t>
            </w:r>
            <w:r>
              <w:rPr>
                <w:rFonts w:hint="eastAsia" w:asciiTheme="minorEastAsia" w:hAnsiTheme="minorEastAsia" w:eastAsiaTheme="minorEastAsia" w:cstheme="minorEastAsia"/>
                <w:sz w:val="24"/>
                <w:szCs w:val="24"/>
                <w:vertAlign w:val="subscript"/>
              </w:rPr>
              <w:t>日</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mm</w:t>
            </w:r>
            <w:r>
              <w:rPr>
                <w:rFonts w:hint="eastAsia" w:asciiTheme="minorEastAsia" w:hAnsiTheme="minorEastAsia" w:eastAsiaTheme="minorEastAsia" w:cstheme="minorEastAsia"/>
                <w:sz w:val="24"/>
                <w:szCs w:val="24"/>
              </w:rPr>
              <w:t>）</w:t>
            </w:r>
          </w:p>
        </w:tc>
        <w:tc>
          <w:tcPr>
            <w:tcW w:w="3316" w:type="dxa"/>
            <w:tcBorders>
              <w:right w:val="single" w:color="000000" w:sz="6" w:space="0"/>
            </w:tcBorders>
            <w:vAlign w:val="center"/>
          </w:tcPr>
          <w:p w14:paraId="2600B2A2">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70</w:t>
            </w:r>
          </w:p>
        </w:tc>
        <w:tc>
          <w:tcPr>
            <w:tcW w:w="3328" w:type="dxa"/>
            <w:tcBorders>
              <w:left w:val="single" w:color="000000" w:sz="6" w:space="0"/>
              <w:right w:val="single" w:color="000000" w:sz="6" w:space="0"/>
            </w:tcBorders>
            <w:vAlign w:val="center"/>
          </w:tcPr>
          <w:p w14:paraId="7B5814C6">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70</w:t>
            </w:r>
          </w:p>
        </w:tc>
      </w:tr>
      <w:tr w14:paraId="337C54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216" w:type="dxa"/>
            <w:tcBorders>
              <w:left w:val="single" w:color="000000" w:sz="6" w:space="0"/>
            </w:tcBorders>
            <w:vAlign w:val="center"/>
          </w:tcPr>
          <w:p w14:paraId="2D1C6A40">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K</w:t>
            </w:r>
            <w:r>
              <w:rPr>
                <w:rFonts w:hint="eastAsia" w:asciiTheme="minorEastAsia" w:hAnsiTheme="minorEastAsia" w:eastAsiaTheme="minorEastAsia" w:cstheme="minorEastAsia"/>
                <w:sz w:val="24"/>
                <w:szCs w:val="24"/>
                <w:vertAlign w:val="subscript"/>
              </w:rPr>
              <w:t>p</w:t>
            </w:r>
          </w:p>
        </w:tc>
        <w:tc>
          <w:tcPr>
            <w:tcW w:w="3316" w:type="dxa"/>
            <w:tcBorders>
              <w:right w:val="single" w:color="000000" w:sz="6" w:space="0"/>
            </w:tcBorders>
            <w:vAlign w:val="center"/>
          </w:tcPr>
          <w:p w14:paraId="4EDECD46">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2.15</w:t>
            </w:r>
          </w:p>
        </w:tc>
        <w:tc>
          <w:tcPr>
            <w:tcW w:w="3328" w:type="dxa"/>
            <w:tcBorders>
              <w:left w:val="single" w:color="000000" w:sz="6" w:space="0"/>
              <w:right w:val="single" w:color="000000" w:sz="6" w:space="0"/>
            </w:tcBorders>
            <w:vAlign w:val="center"/>
          </w:tcPr>
          <w:p w14:paraId="6256B56F">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2.34</w:t>
            </w:r>
          </w:p>
        </w:tc>
      </w:tr>
      <w:tr w14:paraId="0BE353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2216" w:type="dxa"/>
            <w:tcBorders>
              <w:left w:val="single" w:color="000000" w:sz="6" w:space="0"/>
              <w:bottom w:val="single" w:color="000000" w:sz="6" w:space="0"/>
            </w:tcBorders>
            <w:vAlign w:val="center"/>
          </w:tcPr>
          <w:p w14:paraId="623466A8">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H</w:t>
            </w:r>
            <w:r>
              <w:rPr>
                <w:rFonts w:hint="eastAsia" w:asciiTheme="minorEastAsia" w:hAnsiTheme="minorEastAsia" w:eastAsiaTheme="minorEastAsia" w:cstheme="minorEastAsia"/>
                <w:sz w:val="24"/>
                <w:szCs w:val="24"/>
                <w:vertAlign w:val="subscript"/>
              </w:rPr>
              <w:t>24p</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mm</w:t>
            </w:r>
            <w:r>
              <w:rPr>
                <w:rFonts w:hint="eastAsia" w:asciiTheme="minorEastAsia" w:hAnsiTheme="minorEastAsia" w:eastAsiaTheme="minorEastAsia" w:cstheme="minorEastAsia"/>
                <w:sz w:val="24"/>
                <w:szCs w:val="24"/>
              </w:rPr>
              <w:t>）</w:t>
            </w:r>
          </w:p>
        </w:tc>
        <w:tc>
          <w:tcPr>
            <w:tcW w:w="3316" w:type="dxa"/>
            <w:tcBorders>
              <w:bottom w:val="single" w:color="000000" w:sz="6" w:space="0"/>
              <w:right w:val="single" w:color="000000" w:sz="6" w:space="0"/>
            </w:tcBorders>
            <w:vAlign w:val="center"/>
          </w:tcPr>
          <w:p w14:paraId="0B909657">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150.5</w:t>
            </w:r>
          </w:p>
        </w:tc>
        <w:tc>
          <w:tcPr>
            <w:tcW w:w="3328" w:type="dxa"/>
            <w:tcBorders>
              <w:left w:val="single" w:color="000000" w:sz="6" w:space="0"/>
              <w:bottom w:val="single" w:color="000000" w:sz="6" w:space="0"/>
              <w:right w:val="single" w:color="000000" w:sz="6" w:space="0"/>
            </w:tcBorders>
            <w:vAlign w:val="center"/>
          </w:tcPr>
          <w:p w14:paraId="587F295A">
            <w:pPr>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163.8</w:t>
            </w:r>
          </w:p>
        </w:tc>
      </w:tr>
    </w:tbl>
    <w:p w14:paraId="2EE65C4D">
      <w:r>
        <w:t>2、洪峰流量的计算</w:t>
      </w:r>
    </w:p>
    <w:p w14:paraId="11F2EC16">
      <w:r>
        <w:t>区域汇水面积为0.42k</w:t>
      </w:r>
      <w:r>
        <w:rPr>
          <w:rFonts w:hint="eastAsia"/>
          <w:vertAlign w:val="baseline"/>
          <w:lang w:eastAsia="zh-CN"/>
        </w:rPr>
        <w:t>m</w:t>
      </w:r>
      <w:r>
        <w:rPr>
          <w:rFonts w:hint="eastAsia"/>
          <w:vertAlign w:val="superscript"/>
          <w:lang w:eastAsia="zh-CN"/>
        </w:rPr>
        <w:t>2</w:t>
      </w:r>
      <w:r>
        <w:t>。洪峰流量采用小流域的推理公式法计算。</w:t>
      </w:r>
    </w:p>
    <w:p w14:paraId="65B4791A">
      <w:r>
        <w:t>洪峰流量采用小流域的推理公式法计算:</w:t>
      </w:r>
    </w:p>
    <w:p w14:paraId="481393C8">
      <w:pPr>
        <w:rPr>
          <w:vertAlign w:val="subscript"/>
        </w:rPr>
      </w:pPr>
      <w:r>
        <w:t>Q</w:t>
      </w:r>
      <w:r>
        <w:rPr>
          <w:vertAlign w:val="subscript"/>
        </w:rPr>
        <w:t>p</w:t>
      </w:r>
      <w:r>
        <w:t>=0.278ΦS</w:t>
      </w:r>
      <w:r>
        <w:rPr>
          <w:vertAlign w:val="subscript"/>
        </w:rPr>
        <w:t>p</w:t>
      </w:r>
      <w:r>
        <w:t>F/τ</w:t>
      </w:r>
      <w:r>
        <w:rPr>
          <w:vertAlign w:val="superscript"/>
        </w:rPr>
        <w:t>n</w:t>
      </w:r>
      <w:r>
        <w:t>S</w:t>
      </w:r>
      <w:r>
        <w:rPr>
          <w:vertAlign w:val="subscript"/>
        </w:rPr>
        <w:t>p</w:t>
      </w:r>
    </w:p>
    <w:p w14:paraId="299334D3">
      <w:r>
        <w:t>=H</w:t>
      </w:r>
      <w:r>
        <w:rPr>
          <w:vertAlign w:val="subscript"/>
        </w:rPr>
        <w:t>24p</w:t>
      </w:r>
      <w:r>
        <w:t>/24</w:t>
      </w:r>
      <w:r>
        <w:rPr>
          <w:vertAlign w:val="superscript"/>
        </w:rPr>
        <w:t>1-n</w:t>
      </w:r>
    </w:p>
    <w:p w14:paraId="4CD850AC">
      <w:r>
        <w:t>式中：</w:t>
      </w:r>
    </w:p>
    <w:p w14:paraId="365670E5">
      <w:r>
        <w:drawing>
          <wp:inline distT="0" distB="0" distL="114300" distR="114300">
            <wp:extent cx="5344160" cy="1967865"/>
            <wp:effectExtent l="0" t="0" r="8890" b="13335"/>
            <wp:docPr id="4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6"/>
                    <pic:cNvPicPr>
                      <a:picLocks noChangeAspect="1"/>
                    </pic:cNvPicPr>
                  </pic:nvPicPr>
                  <pic:blipFill>
                    <a:blip r:embed="rId30"/>
                    <a:stretch>
                      <a:fillRect/>
                    </a:stretch>
                  </pic:blipFill>
                  <pic:spPr>
                    <a:xfrm>
                      <a:off x="0" y="0"/>
                      <a:ext cx="5344160" cy="1967865"/>
                    </a:xfrm>
                    <a:prstGeom prst="rect">
                      <a:avLst/>
                    </a:prstGeom>
                    <a:noFill/>
                    <a:ln>
                      <a:noFill/>
                    </a:ln>
                  </pic:spPr>
                </pic:pic>
              </a:graphicData>
            </a:graphic>
          </wp:inline>
        </w:drawing>
      </w:r>
    </w:p>
    <w:p w14:paraId="0519687F">
      <w:r>
        <w:drawing>
          <wp:inline distT="0" distB="0" distL="0" distR="0">
            <wp:extent cx="127635" cy="184785"/>
            <wp:effectExtent l="0" t="0" r="0" b="4445"/>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31"/>
                    <a:stretch>
                      <a:fillRect/>
                    </a:stretch>
                  </pic:blipFill>
                  <pic:spPr>
                    <a:xfrm>
                      <a:off x="0" y="0"/>
                      <a:ext cx="128025" cy="185045"/>
                    </a:xfrm>
                    <a:prstGeom prst="rect">
                      <a:avLst/>
                    </a:prstGeom>
                  </pic:spPr>
                </pic:pic>
              </a:graphicData>
            </a:graphic>
          </wp:inline>
        </w:drawing>
      </w:r>
      <w:r>
        <w:t>——洪峰迳流系数</w:t>
      </w:r>
    </w:p>
    <w:p w14:paraId="4BBEE3E7">
      <w:r>
        <w:t>F——汇流面积（k</w:t>
      </w:r>
      <w:r>
        <w:rPr>
          <w:rFonts w:hint="eastAsia"/>
          <w:vertAlign w:val="baseline"/>
          <w:lang w:eastAsia="zh-CN"/>
        </w:rPr>
        <w:t>m</w:t>
      </w:r>
      <w:r>
        <w:rPr>
          <w:rFonts w:hint="eastAsia"/>
          <w:vertAlign w:val="superscript"/>
          <w:lang w:eastAsia="zh-CN"/>
        </w:rPr>
        <w:t>2</w:t>
      </w:r>
      <w:r>
        <w:t>）</w:t>
      </w:r>
    </w:p>
    <w:p w14:paraId="7A298FCD">
      <w:r>
        <w:t>S</w:t>
      </w:r>
      <w:r>
        <w:rPr>
          <w:vertAlign w:val="subscript"/>
        </w:rPr>
        <w:t>p</w:t>
      </w:r>
      <w:r>
        <w:t>——设计频率p的暴雨雨力（</w:t>
      </w:r>
      <w:r>
        <w:rPr>
          <w:rFonts w:hint="eastAsia"/>
          <w:lang w:eastAsia="zh-CN"/>
        </w:rPr>
        <w:t>mm</w:t>
      </w:r>
      <w:r>
        <w:t>/h）</w:t>
      </w:r>
    </w:p>
    <w:p w14:paraId="118BF721">
      <w:r>
        <w:t>n——暴雨递减指数</w:t>
      </w:r>
    </w:p>
    <w:p w14:paraId="58ACA414">
      <w:r>
        <w:t>τ——流域汇流时间（h）</w:t>
      </w:r>
    </w:p>
    <w:p w14:paraId="56E8A2DB">
      <w:r>
        <w:t>τ。——迳流系数为1的汇流时间（h）</w:t>
      </w:r>
    </w:p>
    <w:p w14:paraId="2ED71AC7">
      <w:r>
        <w:t>L——由坝址至分水岭的长度（k</w:t>
      </w:r>
      <w:r>
        <w:rPr>
          <w:rFonts w:hint="eastAsia"/>
          <w:lang w:eastAsia="zh-CN"/>
        </w:rPr>
        <w:t>m</w:t>
      </w:r>
      <w:r>
        <w:t>）</w:t>
      </w:r>
    </w:p>
    <w:p w14:paraId="38CAD901">
      <w:r>
        <w:t>J——主河槽的平均坡降</w:t>
      </w:r>
      <w:r>
        <w:rPr>
          <w:rFonts w:hint="eastAsia"/>
          <w:lang w:eastAsia="zh-CN"/>
        </w:rPr>
        <w:t>m</w:t>
      </w:r>
      <w:r>
        <w:t>——汇流参数</w:t>
      </w:r>
    </w:p>
    <w:p w14:paraId="2E7846A0">
      <w:r>
        <w:t>μ——降雨平均损失率（</w:t>
      </w:r>
      <w:r>
        <w:rPr>
          <w:rFonts w:hint="eastAsia"/>
          <w:lang w:eastAsia="zh-CN"/>
        </w:rPr>
        <w:t>mm</w:t>
      </w:r>
      <w:r>
        <w:t>/h）</w:t>
      </w:r>
    </w:p>
    <w:p w14:paraId="39255EEE">
      <w:r>
        <w:t>α24——降雨历时为24小时的迳流系数</w:t>
      </w:r>
    </w:p>
    <w:p w14:paraId="64D7CD25">
      <w:r>
        <w:t>洪水列表计算：</w:t>
      </w:r>
    </w:p>
    <w:tbl>
      <w:tblPr>
        <w:tblStyle w:val="308"/>
        <w:tblW w:w="4995"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980"/>
        <w:gridCol w:w="895"/>
        <w:gridCol w:w="896"/>
        <w:gridCol w:w="896"/>
        <w:gridCol w:w="896"/>
        <w:gridCol w:w="896"/>
        <w:gridCol w:w="909"/>
        <w:gridCol w:w="896"/>
        <w:gridCol w:w="896"/>
        <w:gridCol w:w="918"/>
      </w:tblGrid>
      <w:tr w14:paraId="2BF1CE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40" w:type="pct"/>
            <w:tcBorders>
              <w:bottom w:val="single" w:color="000000" w:sz="2" w:space="0"/>
              <w:right w:val="single" w:color="000000" w:sz="2" w:space="0"/>
            </w:tcBorders>
            <w:vAlign w:val="center"/>
          </w:tcPr>
          <w:p w14:paraId="6EC08FC2">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F</w:t>
            </w:r>
          </w:p>
        </w:tc>
        <w:tc>
          <w:tcPr>
            <w:tcW w:w="493" w:type="pct"/>
            <w:tcBorders>
              <w:left w:val="single" w:color="000000" w:sz="2" w:space="0"/>
              <w:bottom w:val="single" w:color="000000" w:sz="2" w:space="0"/>
              <w:right w:val="single" w:color="000000" w:sz="2" w:space="0"/>
            </w:tcBorders>
            <w:vAlign w:val="center"/>
          </w:tcPr>
          <w:p w14:paraId="101978B3">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L</w:t>
            </w:r>
          </w:p>
        </w:tc>
        <w:tc>
          <w:tcPr>
            <w:tcW w:w="493" w:type="pct"/>
            <w:tcBorders>
              <w:left w:val="single" w:color="000000" w:sz="2" w:space="0"/>
              <w:bottom w:val="single" w:color="000000" w:sz="2" w:space="0"/>
              <w:right w:val="single" w:color="000000" w:sz="2" w:space="0"/>
            </w:tcBorders>
            <w:vAlign w:val="center"/>
          </w:tcPr>
          <w:p w14:paraId="526FCF04">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J</w:t>
            </w:r>
          </w:p>
        </w:tc>
        <w:tc>
          <w:tcPr>
            <w:tcW w:w="493" w:type="pct"/>
            <w:tcBorders>
              <w:left w:val="single" w:color="000000" w:sz="2" w:space="0"/>
              <w:bottom w:val="single" w:color="000000" w:sz="2" w:space="0"/>
              <w:right w:val="single" w:color="000000" w:sz="2" w:space="0"/>
            </w:tcBorders>
            <w:vAlign w:val="center"/>
          </w:tcPr>
          <w:p w14:paraId="57054450">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J</w:t>
            </w:r>
            <w:r>
              <w:rPr>
                <w:rFonts w:hint="eastAsia" w:asciiTheme="minorEastAsia" w:hAnsiTheme="minorEastAsia" w:eastAsiaTheme="minorEastAsia" w:cstheme="minorEastAsia"/>
                <w:sz w:val="24"/>
                <w:szCs w:val="24"/>
                <w:vertAlign w:val="superscript"/>
              </w:rPr>
              <w:t>1/3</w:t>
            </w:r>
          </w:p>
        </w:tc>
        <w:tc>
          <w:tcPr>
            <w:tcW w:w="493" w:type="pct"/>
            <w:tcBorders>
              <w:left w:val="single" w:color="000000" w:sz="2" w:space="0"/>
              <w:bottom w:val="single" w:color="000000" w:sz="2" w:space="0"/>
              <w:right w:val="single" w:color="000000" w:sz="2" w:space="0"/>
            </w:tcBorders>
            <w:vAlign w:val="center"/>
          </w:tcPr>
          <w:p w14:paraId="675CE6D2">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n</w:t>
            </w:r>
          </w:p>
        </w:tc>
        <w:tc>
          <w:tcPr>
            <w:tcW w:w="493" w:type="pct"/>
            <w:tcBorders>
              <w:left w:val="single" w:color="000000" w:sz="2" w:space="0"/>
              <w:bottom w:val="single" w:color="000000" w:sz="2" w:space="0"/>
              <w:right w:val="single" w:color="000000" w:sz="2" w:space="0"/>
            </w:tcBorders>
            <w:vAlign w:val="center"/>
          </w:tcPr>
          <w:p w14:paraId="276D5CEB">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P（%）</w:t>
            </w:r>
          </w:p>
        </w:tc>
        <w:tc>
          <w:tcPr>
            <w:tcW w:w="500" w:type="pct"/>
            <w:tcBorders>
              <w:left w:val="single" w:color="000000" w:sz="2" w:space="0"/>
              <w:bottom w:val="single" w:color="000000" w:sz="2" w:space="0"/>
              <w:right w:val="single" w:color="000000" w:sz="2" w:space="0"/>
            </w:tcBorders>
            <w:vAlign w:val="center"/>
          </w:tcPr>
          <w:p w14:paraId="2E49EC8E">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H</w:t>
            </w:r>
            <w:r>
              <w:rPr>
                <w:rFonts w:hint="eastAsia" w:asciiTheme="minorEastAsia" w:hAnsiTheme="minorEastAsia" w:eastAsiaTheme="minorEastAsia" w:cstheme="minorEastAsia"/>
                <w:sz w:val="24"/>
                <w:szCs w:val="24"/>
                <w:vertAlign w:val="subscript"/>
              </w:rPr>
              <w:t>24p</w:t>
            </w:r>
          </w:p>
        </w:tc>
        <w:tc>
          <w:tcPr>
            <w:tcW w:w="493" w:type="pct"/>
            <w:tcBorders>
              <w:left w:val="single" w:color="000000" w:sz="2" w:space="0"/>
              <w:bottom w:val="single" w:color="000000" w:sz="2" w:space="0"/>
              <w:right w:val="single" w:color="000000" w:sz="2" w:space="0"/>
            </w:tcBorders>
            <w:vAlign w:val="center"/>
          </w:tcPr>
          <w:p w14:paraId="7AE57193">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S</w:t>
            </w:r>
            <w:r>
              <w:rPr>
                <w:rFonts w:hint="eastAsia" w:asciiTheme="minorEastAsia" w:hAnsiTheme="minorEastAsia" w:eastAsiaTheme="minorEastAsia" w:cstheme="minorEastAsia"/>
                <w:sz w:val="24"/>
                <w:szCs w:val="24"/>
                <w:vertAlign w:val="subscript"/>
              </w:rPr>
              <w:t>p</w:t>
            </w:r>
          </w:p>
        </w:tc>
        <w:tc>
          <w:tcPr>
            <w:tcW w:w="493" w:type="pct"/>
            <w:tcBorders>
              <w:left w:val="single" w:color="000000" w:sz="2" w:space="0"/>
              <w:bottom w:val="single" w:color="000000" w:sz="2" w:space="0"/>
              <w:right w:val="single" w:color="000000" w:sz="2" w:space="0"/>
            </w:tcBorders>
            <w:vAlign w:val="center"/>
          </w:tcPr>
          <w:p w14:paraId="18D0425F">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α</w:t>
            </w:r>
            <w:r>
              <w:rPr>
                <w:rFonts w:hint="eastAsia" w:asciiTheme="minorEastAsia" w:hAnsiTheme="minorEastAsia" w:eastAsiaTheme="minorEastAsia" w:cstheme="minorEastAsia"/>
                <w:sz w:val="24"/>
                <w:szCs w:val="24"/>
                <w:vertAlign w:val="subscript"/>
              </w:rPr>
              <w:t>24</w:t>
            </w:r>
          </w:p>
        </w:tc>
        <w:tc>
          <w:tcPr>
            <w:tcW w:w="505" w:type="pct"/>
            <w:tcBorders>
              <w:left w:val="single" w:color="000000" w:sz="2" w:space="0"/>
              <w:bottom w:val="single" w:color="000000" w:sz="2" w:space="0"/>
            </w:tcBorders>
            <w:vAlign w:val="center"/>
          </w:tcPr>
          <w:p w14:paraId="3ED08E49">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h</w:t>
            </w:r>
            <w:r>
              <w:rPr>
                <w:rFonts w:hint="eastAsia" w:asciiTheme="minorEastAsia" w:hAnsiTheme="minorEastAsia" w:eastAsiaTheme="minorEastAsia" w:cstheme="minorEastAsia"/>
                <w:sz w:val="24"/>
                <w:szCs w:val="24"/>
                <w:vertAlign w:val="subscript"/>
              </w:rPr>
              <w:t>R</w:t>
            </w:r>
          </w:p>
        </w:tc>
      </w:tr>
      <w:tr w14:paraId="4BA510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40" w:type="pct"/>
            <w:tcBorders>
              <w:top w:val="single" w:color="000000" w:sz="2" w:space="0"/>
            </w:tcBorders>
            <w:vAlign w:val="center"/>
          </w:tcPr>
          <w:p w14:paraId="7057E825">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0.42</w:t>
            </w:r>
          </w:p>
        </w:tc>
        <w:tc>
          <w:tcPr>
            <w:tcW w:w="493" w:type="pct"/>
            <w:tcBorders>
              <w:top w:val="single" w:color="000000" w:sz="2" w:space="0"/>
            </w:tcBorders>
            <w:vAlign w:val="center"/>
          </w:tcPr>
          <w:p w14:paraId="1847E65A">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1.55</w:t>
            </w:r>
          </w:p>
        </w:tc>
        <w:tc>
          <w:tcPr>
            <w:tcW w:w="493" w:type="pct"/>
            <w:tcBorders>
              <w:top w:val="single" w:color="000000" w:sz="2" w:space="0"/>
            </w:tcBorders>
            <w:vAlign w:val="center"/>
          </w:tcPr>
          <w:p w14:paraId="1E657FE4">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0.15</w:t>
            </w:r>
          </w:p>
        </w:tc>
        <w:tc>
          <w:tcPr>
            <w:tcW w:w="493" w:type="pct"/>
            <w:tcBorders>
              <w:top w:val="single" w:color="000000" w:sz="2" w:space="0"/>
            </w:tcBorders>
            <w:vAlign w:val="center"/>
          </w:tcPr>
          <w:p w14:paraId="05EC724D">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0.531</w:t>
            </w:r>
          </w:p>
        </w:tc>
        <w:tc>
          <w:tcPr>
            <w:tcW w:w="493" w:type="pct"/>
            <w:tcBorders>
              <w:top w:val="single" w:color="000000" w:sz="2" w:space="0"/>
            </w:tcBorders>
            <w:vAlign w:val="center"/>
          </w:tcPr>
          <w:p w14:paraId="6C3DF8EA">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0.75</w:t>
            </w:r>
          </w:p>
        </w:tc>
        <w:tc>
          <w:tcPr>
            <w:tcW w:w="493" w:type="pct"/>
            <w:tcBorders>
              <w:top w:val="single" w:color="000000" w:sz="2" w:space="0"/>
            </w:tcBorders>
            <w:vAlign w:val="center"/>
          </w:tcPr>
          <w:p w14:paraId="42D6F5F6">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500" w:type="pct"/>
            <w:tcBorders>
              <w:top w:val="single" w:color="000000" w:sz="2" w:space="0"/>
            </w:tcBorders>
            <w:vAlign w:val="center"/>
          </w:tcPr>
          <w:p w14:paraId="0B4080FA">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150.5</w:t>
            </w:r>
          </w:p>
        </w:tc>
        <w:tc>
          <w:tcPr>
            <w:tcW w:w="493" w:type="pct"/>
            <w:tcBorders>
              <w:top w:val="single" w:color="000000" w:sz="2" w:space="0"/>
            </w:tcBorders>
            <w:vAlign w:val="center"/>
          </w:tcPr>
          <w:p w14:paraId="57647860">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68.00</w:t>
            </w:r>
          </w:p>
        </w:tc>
        <w:tc>
          <w:tcPr>
            <w:tcW w:w="493" w:type="pct"/>
            <w:tcBorders>
              <w:top w:val="single" w:color="000000" w:sz="2" w:space="0"/>
            </w:tcBorders>
            <w:vAlign w:val="center"/>
          </w:tcPr>
          <w:p w14:paraId="315E303C">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0.725</w:t>
            </w:r>
          </w:p>
        </w:tc>
        <w:tc>
          <w:tcPr>
            <w:tcW w:w="505" w:type="pct"/>
            <w:tcBorders>
              <w:top w:val="single" w:color="000000" w:sz="2" w:space="0"/>
            </w:tcBorders>
            <w:vAlign w:val="center"/>
          </w:tcPr>
          <w:p w14:paraId="215001C8">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109.11</w:t>
            </w:r>
          </w:p>
        </w:tc>
      </w:tr>
      <w:tr w14:paraId="48DF59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40" w:type="pct"/>
            <w:vAlign w:val="center"/>
          </w:tcPr>
          <w:p w14:paraId="5767EA3C">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0.42</w:t>
            </w:r>
          </w:p>
        </w:tc>
        <w:tc>
          <w:tcPr>
            <w:tcW w:w="493" w:type="pct"/>
            <w:vAlign w:val="center"/>
          </w:tcPr>
          <w:p w14:paraId="090BABA7">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1.55</w:t>
            </w:r>
          </w:p>
        </w:tc>
        <w:tc>
          <w:tcPr>
            <w:tcW w:w="493" w:type="pct"/>
            <w:vAlign w:val="center"/>
          </w:tcPr>
          <w:p w14:paraId="69B72982">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0.15</w:t>
            </w:r>
          </w:p>
        </w:tc>
        <w:tc>
          <w:tcPr>
            <w:tcW w:w="493" w:type="pct"/>
            <w:vAlign w:val="center"/>
          </w:tcPr>
          <w:p w14:paraId="3F93B399">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0.531</w:t>
            </w:r>
          </w:p>
        </w:tc>
        <w:tc>
          <w:tcPr>
            <w:tcW w:w="493" w:type="pct"/>
            <w:vAlign w:val="center"/>
          </w:tcPr>
          <w:p w14:paraId="11D0952D">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0.75</w:t>
            </w:r>
          </w:p>
        </w:tc>
        <w:tc>
          <w:tcPr>
            <w:tcW w:w="493" w:type="pct"/>
            <w:vAlign w:val="center"/>
          </w:tcPr>
          <w:p w14:paraId="7EC5C1EC">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0.5</w:t>
            </w:r>
          </w:p>
        </w:tc>
        <w:tc>
          <w:tcPr>
            <w:tcW w:w="500" w:type="pct"/>
            <w:vAlign w:val="center"/>
          </w:tcPr>
          <w:p w14:paraId="5798A2BA">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163.8</w:t>
            </w:r>
          </w:p>
        </w:tc>
        <w:tc>
          <w:tcPr>
            <w:tcW w:w="493" w:type="pct"/>
            <w:vAlign w:val="center"/>
          </w:tcPr>
          <w:p w14:paraId="64A91E59">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74.01</w:t>
            </w:r>
          </w:p>
        </w:tc>
        <w:tc>
          <w:tcPr>
            <w:tcW w:w="493" w:type="pct"/>
            <w:vAlign w:val="center"/>
          </w:tcPr>
          <w:p w14:paraId="44DD899D">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0.743</w:t>
            </w:r>
          </w:p>
        </w:tc>
        <w:tc>
          <w:tcPr>
            <w:tcW w:w="505" w:type="pct"/>
            <w:vAlign w:val="center"/>
          </w:tcPr>
          <w:p w14:paraId="7F0544D9">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121.70</w:t>
            </w:r>
          </w:p>
        </w:tc>
      </w:tr>
    </w:tbl>
    <w:p w14:paraId="0F53872B">
      <w:r>
        <w:t>接上表</w:t>
      </w:r>
    </w:p>
    <w:tbl>
      <w:tblPr>
        <w:tblStyle w:val="308"/>
        <w:tblW w:w="499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40"/>
        <w:gridCol w:w="838"/>
        <w:gridCol w:w="820"/>
        <w:gridCol w:w="825"/>
        <w:gridCol w:w="822"/>
        <w:gridCol w:w="971"/>
        <w:gridCol w:w="831"/>
        <w:gridCol w:w="825"/>
        <w:gridCol w:w="824"/>
        <w:gridCol w:w="1486"/>
      </w:tblGrid>
      <w:tr w14:paraId="67A12A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1" w:hRule="atLeast"/>
        </w:trPr>
        <w:tc>
          <w:tcPr>
            <w:tcW w:w="462" w:type="pct"/>
            <w:tcBorders>
              <w:bottom w:val="single" w:color="000000" w:sz="2" w:space="0"/>
              <w:right w:val="single" w:color="000000" w:sz="2" w:space="0"/>
            </w:tcBorders>
            <w:vAlign w:val="center"/>
          </w:tcPr>
          <w:p w14:paraId="45DAA2F7">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h</w:t>
            </w:r>
            <w:r>
              <w:rPr>
                <w:sz w:val="24"/>
                <w:szCs w:val="24"/>
                <w:vertAlign w:val="superscript"/>
              </w:rPr>
              <w:t>n</w:t>
            </w:r>
            <w:r>
              <w:rPr>
                <w:sz w:val="24"/>
                <w:szCs w:val="24"/>
                <w:vertAlign w:val="subscript"/>
              </w:rPr>
              <w:t>R</w:t>
            </w:r>
          </w:p>
        </w:tc>
        <w:tc>
          <w:tcPr>
            <w:tcW w:w="461" w:type="pct"/>
            <w:tcBorders>
              <w:left w:val="single" w:color="000000" w:sz="2" w:space="0"/>
              <w:bottom w:val="single" w:color="000000" w:sz="2" w:space="0"/>
              <w:right w:val="single" w:color="000000" w:sz="2" w:space="0"/>
            </w:tcBorders>
            <w:vAlign w:val="center"/>
          </w:tcPr>
          <w:p w14:paraId="5E220100">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Sp/h</w:t>
            </w:r>
            <w:r>
              <w:rPr>
                <w:sz w:val="24"/>
                <w:szCs w:val="24"/>
                <w:vertAlign w:val="superscript"/>
              </w:rPr>
              <w:t>n</w:t>
            </w:r>
            <w:r>
              <w:rPr>
                <w:sz w:val="24"/>
                <w:szCs w:val="24"/>
                <w:vertAlign w:val="subscript"/>
              </w:rPr>
              <w:t>R</w:t>
            </w:r>
          </w:p>
        </w:tc>
        <w:tc>
          <w:tcPr>
            <w:tcW w:w="451" w:type="pct"/>
            <w:tcBorders>
              <w:left w:val="single" w:color="000000" w:sz="2" w:space="0"/>
              <w:bottom w:val="single" w:color="000000" w:sz="2" w:space="0"/>
              <w:right w:val="single" w:color="000000" w:sz="2" w:space="0"/>
            </w:tcBorders>
            <w:vAlign w:val="center"/>
          </w:tcPr>
          <w:p w14:paraId="7700D789">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μ</w:t>
            </w:r>
          </w:p>
        </w:tc>
        <w:tc>
          <w:tcPr>
            <w:tcW w:w="454" w:type="pct"/>
            <w:tcBorders>
              <w:left w:val="single" w:color="000000" w:sz="2" w:space="0"/>
              <w:bottom w:val="single" w:color="000000" w:sz="2" w:space="0"/>
              <w:right w:val="single" w:color="000000" w:sz="2" w:space="0"/>
            </w:tcBorders>
            <w:vAlign w:val="center"/>
          </w:tcPr>
          <w:p w14:paraId="41618F0A">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θ</w:t>
            </w:r>
          </w:p>
        </w:tc>
        <w:tc>
          <w:tcPr>
            <w:tcW w:w="452" w:type="pct"/>
            <w:tcBorders>
              <w:left w:val="single" w:color="000000" w:sz="2" w:space="0"/>
              <w:bottom w:val="single" w:color="000000" w:sz="2" w:space="0"/>
              <w:right w:val="single" w:color="000000" w:sz="2" w:space="0"/>
            </w:tcBorders>
            <w:vAlign w:val="center"/>
          </w:tcPr>
          <w:p w14:paraId="0DFAD2A1">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eastAsia="宋体"/>
                <w:sz w:val="24"/>
                <w:szCs w:val="24"/>
                <w:lang w:eastAsia="zh-CN"/>
              </w:rPr>
            </w:pPr>
            <w:r>
              <w:rPr>
                <w:rFonts w:hint="eastAsia"/>
                <w:sz w:val="24"/>
                <w:szCs w:val="24"/>
                <w:lang w:eastAsia="zh-CN"/>
              </w:rPr>
              <w:t>m</w:t>
            </w:r>
          </w:p>
        </w:tc>
        <w:tc>
          <w:tcPr>
            <w:tcW w:w="534" w:type="pct"/>
            <w:tcBorders>
              <w:left w:val="single" w:color="000000" w:sz="2" w:space="0"/>
              <w:bottom w:val="single" w:color="000000" w:sz="2" w:space="0"/>
              <w:right w:val="single" w:color="000000" w:sz="2" w:space="0"/>
            </w:tcBorders>
            <w:vAlign w:val="center"/>
          </w:tcPr>
          <w:p w14:paraId="1244E3F2">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rFonts w:hint="eastAsia"/>
                <w:sz w:val="24"/>
                <w:szCs w:val="24"/>
                <w:lang w:eastAsia="zh-CN"/>
              </w:rPr>
              <w:t>m</w:t>
            </w:r>
            <w:r>
              <w:rPr>
                <w:sz w:val="24"/>
                <w:szCs w:val="24"/>
              </w:rPr>
              <w:t>J</w:t>
            </w:r>
            <w:r>
              <w:rPr>
                <w:sz w:val="24"/>
                <w:szCs w:val="24"/>
                <w:vertAlign w:val="superscript"/>
              </w:rPr>
              <w:t>1/3</w:t>
            </w:r>
            <w:r>
              <w:rPr>
                <w:sz w:val="24"/>
                <w:szCs w:val="24"/>
              </w:rPr>
              <w:t>/L</w:t>
            </w:r>
          </w:p>
        </w:tc>
        <w:tc>
          <w:tcPr>
            <w:tcW w:w="457" w:type="pct"/>
            <w:tcBorders>
              <w:left w:val="single" w:color="000000" w:sz="2" w:space="0"/>
              <w:bottom w:val="single" w:color="000000" w:sz="2" w:space="0"/>
              <w:right w:val="single" w:color="000000" w:sz="2" w:space="0"/>
            </w:tcBorders>
            <w:vAlign w:val="center"/>
          </w:tcPr>
          <w:p w14:paraId="6C066FDC">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S</w:t>
            </w:r>
            <w:r>
              <w:rPr>
                <w:sz w:val="24"/>
                <w:szCs w:val="24"/>
                <w:vertAlign w:val="subscript"/>
              </w:rPr>
              <w:t>p</w:t>
            </w:r>
            <w:r>
              <w:rPr>
                <w:sz w:val="24"/>
                <w:szCs w:val="24"/>
              </w:rPr>
              <w:t>F</w:t>
            </w:r>
          </w:p>
        </w:tc>
        <w:tc>
          <w:tcPr>
            <w:tcW w:w="454" w:type="pct"/>
            <w:tcBorders>
              <w:left w:val="single" w:color="000000" w:sz="2" w:space="0"/>
              <w:bottom w:val="single" w:color="000000" w:sz="2" w:space="0"/>
              <w:right w:val="single" w:color="000000" w:sz="2" w:space="0"/>
            </w:tcBorders>
            <w:vAlign w:val="center"/>
          </w:tcPr>
          <w:p w14:paraId="0B2882F3">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τ</w:t>
            </w:r>
            <w:r>
              <w:rPr>
                <w:sz w:val="24"/>
                <w:szCs w:val="24"/>
                <w:vertAlign w:val="subscript"/>
              </w:rPr>
              <w:t>0</w:t>
            </w:r>
          </w:p>
        </w:tc>
        <w:tc>
          <w:tcPr>
            <w:tcW w:w="453" w:type="pct"/>
            <w:tcBorders>
              <w:left w:val="single" w:color="000000" w:sz="2" w:space="0"/>
              <w:bottom w:val="single" w:color="000000" w:sz="2" w:space="0"/>
              <w:right w:val="single" w:color="000000" w:sz="2" w:space="0"/>
            </w:tcBorders>
            <w:vAlign w:val="center"/>
          </w:tcPr>
          <w:p w14:paraId="547E32F3">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τ</w:t>
            </w:r>
            <w:r>
              <w:rPr>
                <w:sz w:val="24"/>
                <w:szCs w:val="24"/>
                <w:vertAlign w:val="superscript"/>
              </w:rPr>
              <w:t>n</w:t>
            </w:r>
            <w:r>
              <w:rPr>
                <w:sz w:val="24"/>
                <w:szCs w:val="24"/>
                <w:vertAlign w:val="subscript"/>
              </w:rPr>
              <w:t>0</w:t>
            </w:r>
          </w:p>
        </w:tc>
        <w:tc>
          <w:tcPr>
            <w:tcW w:w="817" w:type="pct"/>
            <w:tcBorders>
              <w:left w:val="single" w:color="000000" w:sz="2" w:space="0"/>
              <w:bottom w:val="single" w:color="000000" w:sz="2" w:space="0"/>
            </w:tcBorders>
            <w:vAlign w:val="center"/>
          </w:tcPr>
          <w:p w14:paraId="719C9E1F">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μ</w:t>
            </w:r>
            <w:r>
              <w:rPr>
                <w:sz w:val="24"/>
                <w:szCs w:val="24"/>
                <w:vertAlign w:val="superscript"/>
              </w:rPr>
              <w:t>τ</w:t>
            </w:r>
            <w:r>
              <w:rPr>
                <w:sz w:val="24"/>
                <w:szCs w:val="24"/>
                <w:vertAlign w:val="subscript"/>
              </w:rPr>
              <w:t>0</w:t>
            </w:r>
            <w:r>
              <w:rPr>
                <w:sz w:val="24"/>
                <w:szCs w:val="24"/>
              </w:rPr>
              <w:t>n/S</w:t>
            </w:r>
            <w:r>
              <w:rPr>
                <w:sz w:val="24"/>
                <w:szCs w:val="24"/>
                <w:vertAlign w:val="subscript"/>
              </w:rPr>
              <w:t>P</w:t>
            </w:r>
          </w:p>
        </w:tc>
      </w:tr>
      <w:tr w14:paraId="329183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6" w:hRule="atLeast"/>
        </w:trPr>
        <w:tc>
          <w:tcPr>
            <w:tcW w:w="462" w:type="pct"/>
            <w:tcBorders>
              <w:top w:val="single" w:color="000000" w:sz="2" w:space="0"/>
            </w:tcBorders>
            <w:vAlign w:val="center"/>
          </w:tcPr>
          <w:p w14:paraId="158060CA">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33.76</w:t>
            </w:r>
          </w:p>
        </w:tc>
        <w:tc>
          <w:tcPr>
            <w:tcW w:w="461" w:type="pct"/>
            <w:tcBorders>
              <w:top w:val="single" w:color="000000" w:sz="2" w:space="0"/>
            </w:tcBorders>
            <w:vAlign w:val="center"/>
          </w:tcPr>
          <w:p w14:paraId="7A9C77C2">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2.01</w:t>
            </w:r>
          </w:p>
        </w:tc>
        <w:tc>
          <w:tcPr>
            <w:tcW w:w="451" w:type="pct"/>
            <w:tcBorders>
              <w:top w:val="single" w:color="000000" w:sz="2" w:space="0"/>
            </w:tcBorders>
            <w:vAlign w:val="center"/>
          </w:tcPr>
          <w:p w14:paraId="16AF7989">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1.74</w:t>
            </w:r>
          </w:p>
        </w:tc>
        <w:tc>
          <w:tcPr>
            <w:tcW w:w="454" w:type="pct"/>
            <w:tcBorders>
              <w:top w:val="single" w:color="000000" w:sz="2" w:space="0"/>
            </w:tcBorders>
            <w:vAlign w:val="center"/>
          </w:tcPr>
          <w:p w14:paraId="04937D43">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2.92</w:t>
            </w:r>
          </w:p>
        </w:tc>
        <w:tc>
          <w:tcPr>
            <w:tcW w:w="452" w:type="pct"/>
            <w:tcBorders>
              <w:top w:val="single" w:color="000000" w:sz="2" w:space="0"/>
            </w:tcBorders>
            <w:vAlign w:val="center"/>
          </w:tcPr>
          <w:p w14:paraId="0FABE183">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0.3</w:t>
            </w:r>
          </w:p>
        </w:tc>
        <w:tc>
          <w:tcPr>
            <w:tcW w:w="534" w:type="pct"/>
            <w:tcBorders>
              <w:top w:val="single" w:color="000000" w:sz="2" w:space="0"/>
            </w:tcBorders>
            <w:vAlign w:val="center"/>
          </w:tcPr>
          <w:p w14:paraId="19F3D9F6">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0.103</w:t>
            </w:r>
          </w:p>
        </w:tc>
        <w:tc>
          <w:tcPr>
            <w:tcW w:w="457" w:type="pct"/>
            <w:tcBorders>
              <w:top w:val="single" w:color="000000" w:sz="2" w:space="0"/>
            </w:tcBorders>
            <w:vAlign w:val="center"/>
          </w:tcPr>
          <w:p w14:paraId="20BE1F16">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28.56</w:t>
            </w:r>
          </w:p>
        </w:tc>
        <w:tc>
          <w:tcPr>
            <w:tcW w:w="454" w:type="pct"/>
            <w:tcBorders>
              <w:top w:val="single" w:color="000000" w:sz="2" w:space="0"/>
            </w:tcBorders>
            <w:vAlign w:val="center"/>
          </w:tcPr>
          <w:p w14:paraId="3BFB963C">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1.798</w:t>
            </w:r>
          </w:p>
        </w:tc>
        <w:tc>
          <w:tcPr>
            <w:tcW w:w="453" w:type="pct"/>
            <w:tcBorders>
              <w:top w:val="single" w:color="000000" w:sz="2" w:space="0"/>
            </w:tcBorders>
            <w:vAlign w:val="center"/>
          </w:tcPr>
          <w:p w14:paraId="5AB171B1">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1.55</w:t>
            </w:r>
          </w:p>
        </w:tc>
        <w:tc>
          <w:tcPr>
            <w:tcW w:w="817" w:type="pct"/>
            <w:tcBorders>
              <w:top w:val="single" w:color="000000" w:sz="2" w:space="0"/>
            </w:tcBorders>
            <w:vAlign w:val="center"/>
          </w:tcPr>
          <w:p w14:paraId="74FC8FCD">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0.040</w:t>
            </w:r>
          </w:p>
        </w:tc>
      </w:tr>
      <w:tr w14:paraId="016F30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8" w:hRule="atLeast"/>
        </w:trPr>
        <w:tc>
          <w:tcPr>
            <w:tcW w:w="462" w:type="pct"/>
            <w:vAlign w:val="center"/>
          </w:tcPr>
          <w:p w14:paraId="5EDD6775">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36.64</w:t>
            </w:r>
          </w:p>
        </w:tc>
        <w:tc>
          <w:tcPr>
            <w:tcW w:w="461" w:type="pct"/>
            <w:vAlign w:val="center"/>
          </w:tcPr>
          <w:p w14:paraId="401B2563">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2.02</w:t>
            </w:r>
          </w:p>
        </w:tc>
        <w:tc>
          <w:tcPr>
            <w:tcW w:w="451" w:type="pct"/>
            <w:vAlign w:val="center"/>
          </w:tcPr>
          <w:p w14:paraId="114CBD18">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1.75</w:t>
            </w:r>
          </w:p>
        </w:tc>
        <w:tc>
          <w:tcPr>
            <w:tcW w:w="454" w:type="pct"/>
            <w:vAlign w:val="center"/>
          </w:tcPr>
          <w:p w14:paraId="741726EC">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2.92</w:t>
            </w:r>
          </w:p>
        </w:tc>
        <w:tc>
          <w:tcPr>
            <w:tcW w:w="452" w:type="pct"/>
            <w:vAlign w:val="center"/>
          </w:tcPr>
          <w:p w14:paraId="217148A7">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0.3</w:t>
            </w:r>
          </w:p>
        </w:tc>
        <w:tc>
          <w:tcPr>
            <w:tcW w:w="534" w:type="pct"/>
            <w:vAlign w:val="center"/>
          </w:tcPr>
          <w:p w14:paraId="54C91EBF">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0.103</w:t>
            </w:r>
          </w:p>
        </w:tc>
        <w:tc>
          <w:tcPr>
            <w:tcW w:w="457" w:type="pct"/>
            <w:vAlign w:val="center"/>
          </w:tcPr>
          <w:p w14:paraId="2432C552">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31.08</w:t>
            </w:r>
          </w:p>
        </w:tc>
        <w:tc>
          <w:tcPr>
            <w:tcW w:w="454" w:type="pct"/>
            <w:vAlign w:val="center"/>
          </w:tcPr>
          <w:p w14:paraId="6A4F9BFE">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1.751</w:t>
            </w:r>
          </w:p>
        </w:tc>
        <w:tc>
          <w:tcPr>
            <w:tcW w:w="453" w:type="pct"/>
            <w:vAlign w:val="center"/>
          </w:tcPr>
          <w:p w14:paraId="6893CD4E">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1.52</w:t>
            </w:r>
          </w:p>
        </w:tc>
        <w:tc>
          <w:tcPr>
            <w:tcW w:w="817" w:type="pct"/>
            <w:vAlign w:val="center"/>
          </w:tcPr>
          <w:p w14:paraId="6E2ECC1D">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0.036</w:t>
            </w:r>
          </w:p>
        </w:tc>
      </w:tr>
    </w:tbl>
    <w:p w14:paraId="40DAAFF8">
      <w:r>
        <w:t>接上表</w:t>
      </w:r>
    </w:p>
    <w:tbl>
      <w:tblPr>
        <w:tblStyle w:val="308"/>
        <w:tblW w:w="499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395"/>
        <w:gridCol w:w="1420"/>
        <w:gridCol w:w="1222"/>
        <w:gridCol w:w="1222"/>
        <w:gridCol w:w="1222"/>
        <w:gridCol w:w="2601"/>
      </w:tblGrid>
      <w:tr w14:paraId="529EC2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768" w:type="pct"/>
            <w:tcBorders>
              <w:bottom w:val="single" w:color="000000" w:sz="2" w:space="0"/>
              <w:right w:val="single" w:color="000000" w:sz="2" w:space="0"/>
            </w:tcBorders>
            <w:vAlign w:val="center"/>
          </w:tcPr>
          <w:p w14:paraId="7A039679">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drawing>
                <wp:inline distT="0" distB="0" distL="0" distR="0">
                  <wp:extent cx="127635" cy="184785"/>
                  <wp:effectExtent l="0" t="0" r="0" b="4445"/>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r:embed="rId32"/>
                          <a:stretch>
                            <a:fillRect/>
                          </a:stretch>
                        </pic:blipFill>
                        <pic:spPr>
                          <a:xfrm>
                            <a:off x="0" y="0"/>
                            <a:ext cx="128025" cy="185045"/>
                          </a:xfrm>
                          <a:prstGeom prst="rect">
                            <a:avLst/>
                          </a:prstGeom>
                        </pic:spPr>
                      </pic:pic>
                    </a:graphicData>
                  </a:graphic>
                </wp:inline>
              </w:drawing>
            </w:r>
          </w:p>
        </w:tc>
        <w:tc>
          <w:tcPr>
            <w:tcW w:w="781" w:type="pct"/>
            <w:tcBorders>
              <w:left w:val="single" w:color="000000" w:sz="2" w:space="0"/>
              <w:bottom w:val="single" w:color="000000" w:sz="2" w:space="0"/>
              <w:right w:val="single" w:color="000000" w:sz="2" w:space="0"/>
            </w:tcBorders>
            <w:vAlign w:val="center"/>
          </w:tcPr>
          <w:p w14:paraId="16060162">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τ/τ</w:t>
            </w:r>
            <w:r>
              <w:rPr>
                <w:sz w:val="24"/>
                <w:szCs w:val="24"/>
                <w:vertAlign w:val="subscript"/>
              </w:rPr>
              <w:t>0</w:t>
            </w:r>
          </w:p>
        </w:tc>
        <w:tc>
          <w:tcPr>
            <w:tcW w:w="672" w:type="pct"/>
            <w:tcBorders>
              <w:left w:val="single" w:color="000000" w:sz="2" w:space="0"/>
              <w:bottom w:val="single" w:color="000000" w:sz="2" w:space="0"/>
              <w:right w:val="single" w:color="000000" w:sz="2" w:space="0"/>
            </w:tcBorders>
            <w:vAlign w:val="center"/>
          </w:tcPr>
          <w:p w14:paraId="4B41979B">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τ</w:t>
            </w:r>
          </w:p>
        </w:tc>
        <w:tc>
          <w:tcPr>
            <w:tcW w:w="672" w:type="pct"/>
            <w:tcBorders>
              <w:left w:val="single" w:color="000000" w:sz="2" w:space="0"/>
              <w:bottom w:val="single" w:color="000000" w:sz="2" w:space="0"/>
              <w:right w:val="single" w:color="000000" w:sz="2" w:space="0"/>
            </w:tcBorders>
            <w:vAlign w:val="center"/>
          </w:tcPr>
          <w:p w14:paraId="6C618954">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τ</w:t>
            </w:r>
            <w:r>
              <w:rPr>
                <w:sz w:val="24"/>
                <w:szCs w:val="24"/>
                <w:vertAlign w:val="subscript"/>
              </w:rPr>
              <w:t>n</w:t>
            </w:r>
          </w:p>
        </w:tc>
        <w:tc>
          <w:tcPr>
            <w:tcW w:w="672" w:type="pct"/>
            <w:tcBorders>
              <w:left w:val="single" w:color="000000" w:sz="2" w:space="0"/>
              <w:bottom w:val="single" w:color="000000" w:sz="2" w:space="0"/>
              <w:right w:val="single" w:color="000000" w:sz="2" w:space="0"/>
            </w:tcBorders>
            <w:vAlign w:val="center"/>
          </w:tcPr>
          <w:p w14:paraId="52F16FFB">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Q</w:t>
            </w:r>
            <w:r>
              <w:rPr>
                <w:sz w:val="24"/>
                <w:szCs w:val="24"/>
                <w:vertAlign w:val="subscript"/>
              </w:rPr>
              <w:t>p</w:t>
            </w:r>
          </w:p>
        </w:tc>
        <w:tc>
          <w:tcPr>
            <w:tcW w:w="1431" w:type="pct"/>
            <w:tcBorders>
              <w:left w:val="single" w:color="000000" w:sz="2" w:space="0"/>
              <w:bottom w:val="single" w:color="000000" w:sz="2" w:space="0"/>
            </w:tcBorders>
            <w:vAlign w:val="center"/>
          </w:tcPr>
          <w:p w14:paraId="5E5BACAE">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Q</w:t>
            </w:r>
            <w:r>
              <w:rPr>
                <w:sz w:val="24"/>
                <w:szCs w:val="24"/>
                <w:vertAlign w:val="subscript"/>
              </w:rPr>
              <w:t>p0</w:t>
            </w:r>
            <w:r>
              <w:rPr>
                <w:sz w:val="24"/>
                <w:szCs w:val="24"/>
              </w:rPr>
              <w:t>（</w:t>
            </w:r>
            <w:r>
              <w:rPr>
                <w:rFonts w:hint="eastAsia"/>
                <w:sz w:val="24"/>
                <w:szCs w:val="24"/>
                <w:vertAlign w:val="baseline"/>
                <w:lang w:eastAsia="zh-CN"/>
              </w:rPr>
              <w:t>m</w:t>
            </w:r>
            <w:r>
              <w:rPr>
                <w:rFonts w:hint="eastAsia"/>
                <w:sz w:val="24"/>
                <w:szCs w:val="24"/>
                <w:vertAlign w:val="superscript"/>
                <w:lang w:eastAsia="zh-CN"/>
              </w:rPr>
              <w:t>3</w:t>
            </w:r>
            <w:r>
              <w:rPr>
                <w:sz w:val="24"/>
                <w:szCs w:val="24"/>
              </w:rPr>
              <w:t>/s–k</w:t>
            </w:r>
            <w:r>
              <w:rPr>
                <w:rFonts w:hint="eastAsia"/>
                <w:sz w:val="24"/>
                <w:szCs w:val="24"/>
                <w:vertAlign w:val="baseline"/>
                <w:lang w:eastAsia="zh-CN"/>
              </w:rPr>
              <w:t>m</w:t>
            </w:r>
            <w:r>
              <w:rPr>
                <w:rFonts w:hint="eastAsia"/>
                <w:sz w:val="24"/>
                <w:szCs w:val="24"/>
                <w:vertAlign w:val="superscript"/>
                <w:lang w:eastAsia="zh-CN"/>
              </w:rPr>
              <w:t>2</w:t>
            </w:r>
            <w:r>
              <w:rPr>
                <w:sz w:val="24"/>
                <w:szCs w:val="24"/>
              </w:rPr>
              <w:t>）</w:t>
            </w:r>
          </w:p>
        </w:tc>
      </w:tr>
      <w:tr w14:paraId="4ED5E0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768" w:type="pct"/>
            <w:tcBorders>
              <w:top w:val="single" w:color="000000" w:sz="2" w:space="0"/>
            </w:tcBorders>
            <w:vAlign w:val="center"/>
          </w:tcPr>
          <w:p w14:paraId="0EFD8E9A">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0.954</w:t>
            </w:r>
          </w:p>
        </w:tc>
        <w:tc>
          <w:tcPr>
            <w:tcW w:w="781" w:type="pct"/>
            <w:tcBorders>
              <w:top w:val="single" w:color="000000" w:sz="2" w:space="0"/>
            </w:tcBorders>
            <w:vAlign w:val="center"/>
          </w:tcPr>
          <w:p w14:paraId="4A2C1A29">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1.01</w:t>
            </w:r>
          </w:p>
        </w:tc>
        <w:tc>
          <w:tcPr>
            <w:tcW w:w="672" w:type="pct"/>
            <w:tcBorders>
              <w:top w:val="single" w:color="000000" w:sz="2" w:space="0"/>
            </w:tcBorders>
            <w:vAlign w:val="center"/>
          </w:tcPr>
          <w:p w14:paraId="5AAD1DB0">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1.824</w:t>
            </w:r>
          </w:p>
        </w:tc>
        <w:tc>
          <w:tcPr>
            <w:tcW w:w="672" w:type="pct"/>
            <w:tcBorders>
              <w:top w:val="single" w:color="000000" w:sz="2" w:space="0"/>
            </w:tcBorders>
            <w:vAlign w:val="center"/>
          </w:tcPr>
          <w:p w14:paraId="6BE887BC">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1.57</w:t>
            </w:r>
          </w:p>
        </w:tc>
        <w:tc>
          <w:tcPr>
            <w:tcW w:w="672" w:type="pct"/>
            <w:tcBorders>
              <w:top w:val="single" w:color="000000" w:sz="2" w:space="0"/>
            </w:tcBorders>
            <w:vAlign w:val="center"/>
          </w:tcPr>
          <w:p w14:paraId="3BA6246C">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4.83</w:t>
            </w:r>
          </w:p>
        </w:tc>
        <w:tc>
          <w:tcPr>
            <w:tcW w:w="1431" w:type="pct"/>
            <w:tcBorders>
              <w:top w:val="single" w:color="000000" w:sz="2" w:space="0"/>
            </w:tcBorders>
            <w:vAlign w:val="center"/>
          </w:tcPr>
          <w:p w14:paraId="085491DF">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11.49</w:t>
            </w:r>
          </w:p>
        </w:tc>
      </w:tr>
      <w:tr w14:paraId="4654D9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4" w:hRule="atLeast"/>
        </w:trPr>
        <w:tc>
          <w:tcPr>
            <w:tcW w:w="768" w:type="pct"/>
            <w:vAlign w:val="center"/>
          </w:tcPr>
          <w:p w14:paraId="5A630B7F">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0.958</w:t>
            </w:r>
          </w:p>
        </w:tc>
        <w:tc>
          <w:tcPr>
            <w:tcW w:w="781" w:type="pct"/>
            <w:vAlign w:val="center"/>
          </w:tcPr>
          <w:p w14:paraId="1E705E6D">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1.01</w:t>
            </w:r>
          </w:p>
        </w:tc>
        <w:tc>
          <w:tcPr>
            <w:tcW w:w="672" w:type="pct"/>
            <w:vAlign w:val="center"/>
          </w:tcPr>
          <w:p w14:paraId="508D39DA">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1.774</w:t>
            </w:r>
          </w:p>
        </w:tc>
        <w:tc>
          <w:tcPr>
            <w:tcW w:w="672" w:type="pct"/>
            <w:vAlign w:val="center"/>
          </w:tcPr>
          <w:p w14:paraId="7A8604F7">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1.54</w:t>
            </w:r>
          </w:p>
        </w:tc>
        <w:tc>
          <w:tcPr>
            <w:tcW w:w="672" w:type="pct"/>
            <w:vAlign w:val="center"/>
          </w:tcPr>
          <w:p w14:paraId="45641336">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5.39</w:t>
            </w:r>
          </w:p>
        </w:tc>
        <w:tc>
          <w:tcPr>
            <w:tcW w:w="1431" w:type="pct"/>
            <w:vAlign w:val="center"/>
          </w:tcPr>
          <w:p w14:paraId="62D6A57A">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sz w:val="24"/>
                <w:szCs w:val="24"/>
              </w:rPr>
            </w:pPr>
            <w:r>
              <w:rPr>
                <w:sz w:val="24"/>
                <w:szCs w:val="24"/>
              </w:rPr>
              <w:t>12.83</w:t>
            </w:r>
          </w:p>
        </w:tc>
      </w:tr>
    </w:tbl>
    <w:p w14:paraId="4AAB6827">
      <w:r>
        <w:t>3、洪水总量计算</w:t>
      </w:r>
    </w:p>
    <w:p w14:paraId="683B4297">
      <w:pPr>
        <w:jc w:val="center"/>
      </w:pPr>
      <w:r>
        <w:t>W</w:t>
      </w:r>
      <w:r>
        <w:rPr>
          <w:vertAlign w:val="subscript"/>
        </w:rPr>
        <w:t>tp</w:t>
      </w:r>
      <w:r>
        <w:t>=0.1α</w:t>
      </w:r>
      <w:r>
        <w:rPr>
          <w:vertAlign w:val="subscript"/>
        </w:rPr>
        <w:t>t</w:t>
      </w:r>
      <w:r>
        <w:t>H</w:t>
      </w:r>
      <w:r>
        <w:rPr>
          <w:vertAlign w:val="subscript"/>
        </w:rPr>
        <w:t>tp</w:t>
      </w:r>
      <w:r>
        <w:t>F</w:t>
      </w:r>
    </w:p>
    <w:p w14:paraId="08FA4E33">
      <w:r>
        <w:t>W</w:t>
      </w:r>
      <w:r>
        <w:rPr>
          <w:vertAlign w:val="subscript"/>
        </w:rPr>
        <w:t>tp</w:t>
      </w:r>
      <w:r>
        <w:t>：历时为t，频率为P的洪水总量，万</w:t>
      </w:r>
      <w:r>
        <w:rPr>
          <w:rFonts w:hint="eastAsia"/>
          <w:vertAlign w:val="baseline"/>
          <w:lang w:eastAsia="zh-CN"/>
        </w:rPr>
        <w:t>m</w:t>
      </w:r>
      <w:r>
        <w:rPr>
          <w:rFonts w:hint="eastAsia"/>
          <w:vertAlign w:val="superscript"/>
          <w:lang w:eastAsia="zh-CN"/>
        </w:rPr>
        <w:t>3</w:t>
      </w:r>
      <w:r>
        <w:t>；</w:t>
      </w:r>
    </w:p>
    <w:p w14:paraId="2ECBBAE5">
      <w:r>
        <w:t>αt：与历时为t相应的洪量径流系数；</w:t>
      </w:r>
    </w:p>
    <w:p w14:paraId="14B69DB1">
      <w:r>
        <w:t>H</w:t>
      </w:r>
      <w:r>
        <w:rPr>
          <w:vertAlign w:val="subscript"/>
        </w:rPr>
        <w:t>tp</w:t>
      </w:r>
      <w:r>
        <w:t>：历时为t，频率p的降雨量（</w:t>
      </w:r>
      <w:r>
        <w:rPr>
          <w:rFonts w:hint="eastAsia"/>
          <w:lang w:eastAsia="zh-CN"/>
        </w:rPr>
        <w:t>mm</w:t>
      </w:r>
      <w:r>
        <w:t>）；</w:t>
      </w:r>
    </w:p>
    <w:p w14:paraId="0ED6A295">
      <w:r>
        <w:t>F：流域的汇水面积(k</w:t>
      </w:r>
      <w:r>
        <w:rPr>
          <w:rFonts w:hint="eastAsia"/>
          <w:vertAlign w:val="baseline"/>
          <w:lang w:eastAsia="zh-CN"/>
        </w:rPr>
        <w:t>m</w:t>
      </w:r>
      <w:r>
        <w:rPr>
          <w:rFonts w:hint="eastAsia"/>
          <w:vertAlign w:val="superscript"/>
          <w:lang w:eastAsia="zh-CN"/>
        </w:rPr>
        <w:t>2</w:t>
      </w:r>
      <w:r>
        <w:t>)。</w:t>
      </w:r>
    </w:p>
    <w:p w14:paraId="55021B61">
      <w:r>
        <w:t>尾矿库100年一遇：W</w:t>
      </w:r>
      <w:r>
        <w:rPr>
          <w:vertAlign w:val="subscript"/>
        </w:rPr>
        <w:t>100</w:t>
      </w:r>
      <w:r>
        <w:t>=0.1×0.725×150.5×0.42=4.58万</w:t>
      </w:r>
      <w:r>
        <w:rPr>
          <w:rFonts w:hint="eastAsia"/>
          <w:vertAlign w:val="baseline"/>
          <w:lang w:eastAsia="zh-CN"/>
        </w:rPr>
        <w:t>m</w:t>
      </w:r>
      <w:r>
        <w:rPr>
          <w:rFonts w:hint="eastAsia"/>
          <w:vertAlign w:val="superscript"/>
          <w:lang w:eastAsia="zh-CN"/>
        </w:rPr>
        <w:t>3</w:t>
      </w:r>
      <w:r>
        <w:t>/d</w:t>
      </w:r>
    </w:p>
    <w:p w14:paraId="0813FCD6">
      <w:r>
        <w:t>尾矿库200年一遇：W</w:t>
      </w:r>
      <w:r>
        <w:rPr>
          <w:vertAlign w:val="subscript"/>
        </w:rPr>
        <w:t>200</w:t>
      </w:r>
      <w:r>
        <w:t>=0.1×0.743×163.8×0.42=5.11万</w:t>
      </w:r>
      <w:r>
        <w:rPr>
          <w:rFonts w:hint="eastAsia"/>
          <w:vertAlign w:val="baseline"/>
          <w:lang w:eastAsia="zh-CN"/>
        </w:rPr>
        <w:t>m</w:t>
      </w:r>
      <w:r>
        <w:rPr>
          <w:rFonts w:hint="eastAsia"/>
          <w:vertAlign w:val="superscript"/>
          <w:lang w:eastAsia="zh-CN"/>
        </w:rPr>
        <w:t>3</w:t>
      </w:r>
      <w:r>
        <w:t>/d</w:t>
      </w:r>
    </w:p>
    <w:p w14:paraId="2D984E0A">
      <w:r>
        <w:t>表4-8水文计算最终取值表</w:t>
      </w:r>
    </w:p>
    <w:tbl>
      <w:tblPr>
        <w:tblStyle w:val="308"/>
        <w:tblW w:w="8860" w:type="dxa"/>
        <w:tblInd w:w="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9"/>
        <w:gridCol w:w="2404"/>
        <w:gridCol w:w="1805"/>
        <w:gridCol w:w="1596"/>
        <w:gridCol w:w="1466"/>
      </w:tblGrid>
      <w:tr w14:paraId="379A4A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89" w:type="dxa"/>
            <w:tcBorders>
              <w:left w:val="single" w:color="000000" w:sz="6" w:space="0"/>
            </w:tcBorders>
            <w:vAlign w:val="top"/>
          </w:tcPr>
          <w:p w14:paraId="72353A2B">
            <w:pPr>
              <w:rPr>
                <w:sz w:val="24"/>
                <w:szCs w:val="24"/>
              </w:rPr>
            </w:pPr>
            <w:r>
              <w:rPr>
                <w:sz w:val="24"/>
                <w:szCs w:val="24"/>
              </w:rPr>
              <w:t>序号</w:t>
            </w:r>
          </w:p>
        </w:tc>
        <w:tc>
          <w:tcPr>
            <w:tcW w:w="2404" w:type="dxa"/>
            <w:vAlign w:val="top"/>
          </w:tcPr>
          <w:p w14:paraId="71947F12">
            <w:pPr>
              <w:rPr>
                <w:sz w:val="24"/>
                <w:szCs w:val="24"/>
              </w:rPr>
            </w:pPr>
            <w:r>
              <w:rPr>
                <w:sz w:val="24"/>
                <w:szCs w:val="24"/>
              </w:rPr>
              <w:t>项目</w:t>
            </w:r>
          </w:p>
        </w:tc>
        <w:tc>
          <w:tcPr>
            <w:tcW w:w="1805" w:type="dxa"/>
            <w:vAlign w:val="top"/>
          </w:tcPr>
          <w:p w14:paraId="5A37D355">
            <w:pPr>
              <w:rPr>
                <w:sz w:val="24"/>
                <w:szCs w:val="24"/>
              </w:rPr>
            </w:pPr>
            <w:r>
              <w:rPr>
                <w:sz w:val="24"/>
                <w:szCs w:val="24"/>
              </w:rPr>
              <w:t>单位</w:t>
            </w:r>
          </w:p>
        </w:tc>
        <w:tc>
          <w:tcPr>
            <w:tcW w:w="1596" w:type="dxa"/>
            <w:vAlign w:val="top"/>
          </w:tcPr>
          <w:p w14:paraId="55ED0FD0">
            <w:pPr>
              <w:rPr>
                <w:sz w:val="24"/>
                <w:szCs w:val="24"/>
              </w:rPr>
            </w:pPr>
            <w:r>
              <w:rPr>
                <w:sz w:val="24"/>
                <w:szCs w:val="24"/>
              </w:rPr>
              <w:t>100年</w:t>
            </w:r>
          </w:p>
        </w:tc>
        <w:tc>
          <w:tcPr>
            <w:tcW w:w="1466" w:type="dxa"/>
            <w:vAlign w:val="top"/>
          </w:tcPr>
          <w:p w14:paraId="09015C8E">
            <w:pPr>
              <w:rPr>
                <w:sz w:val="24"/>
                <w:szCs w:val="24"/>
              </w:rPr>
            </w:pPr>
            <w:r>
              <w:rPr>
                <w:sz w:val="24"/>
                <w:szCs w:val="24"/>
              </w:rPr>
              <w:t>200年</w:t>
            </w:r>
          </w:p>
        </w:tc>
      </w:tr>
      <w:tr w14:paraId="336D01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89" w:type="dxa"/>
            <w:tcBorders>
              <w:left w:val="single" w:color="000000" w:sz="6" w:space="0"/>
            </w:tcBorders>
            <w:vAlign w:val="top"/>
          </w:tcPr>
          <w:p w14:paraId="1F75954D">
            <w:pPr>
              <w:rPr>
                <w:sz w:val="24"/>
                <w:szCs w:val="24"/>
              </w:rPr>
            </w:pPr>
            <w:r>
              <w:rPr>
                <w:sz w:val="24"/>
                <w:szCs w:val="24"/>
              </w:rPr>
              <w:t>1</w:t>
            </w:r>
          </w:p>
        </w:tc>
        <w:tc>
          <w:tcPr>
            <w:tcW w:w="2404" w:type="dxa"/>
            <w:vAlign w:val="top"/>
          </w:tcPr>
          <w:p w14:paraId="18F52536">
            <w:pPr>
              <w:rPr>
                <w:sz w:val="24"/>
                <w:szCs w:val="24"/>
              </w:rPr>
            </w:pPr>
            <w:r>
              <w:rPr>
                <w:sz w:val="24"/>
                <w:szCs w:val="24"/>
              </w:rPr>
              <w:t>汇水面积F</w:t>
            </w:r>
          </w:p>
        </w:tc>
        <w:tc>
          <w:tcPr>
            <w:tcW w:w="1805" w:type="dxa"/>
            <w:vAlign w:val="top"/>
          </w:tcPr>
          <w:p w14:paraId="7FA63A87">
            <w:pPr>
              <w:rPr>
                <w:rFonts w:hint="eastAsia" w:eastAsia="宋体"/>
                <w:sz w:val="24"/>
                <w:szCs w:val="24"/>
                <w:lang w:eastAsia="zh-CN"/>
              </w:rPr>
            </w:pPr>
            <w:r>
              <w:rPr>
                <w:sz w:val="24"/>
                <w:szCs w:val="24"/>
              </w:rPr>
              <w:t>K</w:t>
            </w:r>
            <w:r>
              <w:rPr>
                <w:rFonts w:hint="eastAsia"/>
                <w:sz w:val="24"/>
                <w:szCs w:val="24"/>
                <w:vertAlign w:val="baseline"/>
                <w:lang w:eastAsia="zh-CN"/>
              </w:rPr>
              <w:t>m</w:t>
            </w:r>
            <w:r>
              <w:rPr>
                <w:rFonts w:hint="eastAsia"/>
                <w:sz w:val="24"/>
                <w:szCs w:val="24"/>
                <w:vertAlign w:val="superscript"/>
                <w:lang w:eastAsia="zh-CN"/>
              </w:rPr>
              <w:t>2</w:t>
            </w:r>
          </w:p>
        </w:tc>
        <w:tc>
          <w:tcPr>
            <w:tcW w:w="1596" w:type="dxa"/>
            <w:vAlign w:val="top"/>
          </w:tcPr>
          <w:p w14:paraId="25877AB7">
            <w:pPr>
              <w:rPr>
                <w:sz w:val="24"/>
                <w:szCs w:val="24"/>
              </w:rPr>
            </w:pPr>
            <w:r>
              <w:rPr>
                <w:sz w:val="24"/>
                <w:szCs w:val="24"/>
              </w:rPr>
              <w:t>0.42</w:t>
            </w:r>
          </w:p>
        </w:tc>
        <w:tc>
          <w:tcPr>
            <w:tcW w:w="1466" w:type="dxa"/>
            <w:vAlign w:val="top"/>
          </w:tcPr>
          <w:p w14:paraId="2F6A24C3">
            <w:pPr>
              <w:rPr>
                <w:sz w:val="24"/>
                <w:szCs w:val="24"/>
              </w:rPr>
            </w:pPr>
            <w:r>
              <w:rPr>
                <w:sz w:val="24"/>
                <w:szCs w:val="24"/>
              </w:rPr>
              <w:t>0.42</w:t>
            </w:r>
          </w:p>
        </w:tc>
      </w:tr>
      <w:tr w14:paraId="3C0E00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89" w:type="dxa"/>
            <w:tcBorders>
              <w:left w:val="single" w:color="000000" w:sz="6" w:space="0"/>
            </w:tcBorders>
            <w:vAlign w:val="top"/>
          </w:tcPr>
          <w:p w14:paraId="0F618BA5">
            <w:pPr>
              <w:rPr>
                <w:sz w:val="24"/>
                <w:szCs w:val="24"/>
              </w:rPr>
            </w:pPr>
            <w:r>
              <w:rPr>
                <w:sz w:val="24"/>
                <w:szCs w:val="24"/>
              </w:rPr>
              <w:t>2</w:t>
            </w:r>
          </w:p>
        </w:tc>
        <w:tc>
          <w:tcPr>
            <w:tcW w:w="2404" w:type="dxa"/>
            <w:vAlign w:val="top"/>
          </w:tcPr>
          <w:p w14:paraId="4701BA3F">
            <w:pPr>
              <w:rPr>
                <w:sz w:val="24"/>
                <w:szCs w:val="24"/>
              </w:rPr>
            </w:pPr>
            <w:r>
              <w:rPr>
                <w:sz w:val="24"/>
                <w:szCs w:val="24"/>
              </w:rPr>
              <w:t>迳流长L</w:t>
            </w:r>
          </w:p>
        </w:tc>
        <w:tc>
          <w:tcPr>
            <w:tcW w:w="1805" w:type="dxa"/>
            <w:vAlign w:val="top"/>
          </w:tcPr>
          <w:p w14:paraId="2F4AA40E">
            <w:pPr>
              <w:rPr>
                <w:rFonts w:hint="eastAsia" w:eastAsia="宋体"/>
                <w:sz w:val="24"/>
                <w:szCs w:val="24"/>
                <w:lang w:eastAsia="zh-CN"/>
              </w:rPr>
            </w:pPr>
            <w:r>
              <w:rPr>
                <w:sz w:val="24"/>
                <w:szCs w:val="24"/>
              </w:rPr>
              <w:t>K</w:t>
            </w:r>
            <w:r>
              <w:rPr>
                <w:rFonts w:hint="eastAsia"/>
                <w:sz w:val="24"/>
                <w:szCs w:val="24"/>
                <w:lang w:eastAsia="zh-CN"/>
              </w:rPr>
              <w:t>m</w:t>
            </w:r>
          </w:p>
        </w:tc>
        <w:tc>
          <w:tcPr>
            <w:tcW w:w="1596" w:type="dxa"/>
            <w:vAlign w:val="top"/>
          </w:tcPr>
          <w:p w14:paraId="0098B965">
            <w:pPr>
              <w:rPr>
                <w:sz w:val="24"/>
                <w:szCs w:val="24"/>
              </w:rPr>
            </w:pPr>
            <w:r>
              <w:rPr>
                <w:sz w:val="24"/>
                <w:szCs w:val="24"/>
              </w:rPr>
              <w:t>1.55</w:t>
            </w:r>
          </w:p>
        </w:tc>
        <w:tc>
          <w:tcPr>
            <w:tcW w:w="1466" w:type="dxa"/>
            <w:vAlign w:val="top"/>
          </w:tcPr>
          <w:p w14:paraId="58FEE6E2">
            <w:pPr>
              <w:rPr>
                <w:sz w:val="24"/>
                <w:szCs w:val="24"/>
              </w:rPr>
            </w:pPr>
            <w:r>
              <w:rPr>
                <w:sz w:val="24"/>
                <w:szCs w:val="24"/>
              </w:rPr>
              <w:t>1.55</w:t>
            </w:r>
          </w:p>
        </w:tc>
      </w:tr>
      <w:tr w14:paraId="63C50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89" w:type="dxa"/>
            <w:tcBorders>
              <w:left w:val="single" w:color="000000" w:sz="6" w:space="0"/>
            </w:tcBorders>
            <w:vAlign w:val="top"/>
          </w:tcPr>
          <w:p w14:paraId="0E928919">
            <w:pPr>
              <w:rPr>
                <w:sz w:val="24"/>
                <w:szCs w:val="24"/>
              </w:rPr>
            </w:pPr>
            <w:r>
              <w:rPr>
                <w:sz w:val="24"/>
                <w:szCs w:val="24"/>
              </w:rPr>
              <w:t>3</w:t>
            </w:r>
          </w:p>
        </w:tc>
        <w:tc>
          <w:tcPr>
            <w:tcW w:w="2404" w:type="dxa"/>
            <w:vAlign w:val="top"/>
          </w:tcPr>
          <w:p w14:paraId="0369F34F">
            <w:pPr>
              <w:rPr>
                <w:sz w:val="24"/>
                <w:szCs w:val="24"/>
              </w:rPr>
            </w:pPr>
            <w:r>
              <w:rPr>
                <w:sz w:val="24"/>
                <w:szCs w:val="24"/>
              </w:rPr>
              <w:t>降雨量H</w:t>
            </w:r>
            <w:r>
              <w:rPr>
                <w:sz w:val="24"/>
                <w:szCs w:val="24"/>
                <w:vertAlign w:val="subscript"/>
              </w:rPr>
              <w:t>24p</w:t>
            </w:r>
          </w:p>
        </w:tc>
        <w:tc>
          <w:tcPr>
            <w:tcW w:w="1805" w:type="dxa"/>
            <w:vAlign w:val="top"/>
          </w:tcPr>
          <w:p w14:paraId="40AA7D67">
            <w:pPr>
              <w:rPr>
                <w:rFonts w:hint="eastAsia" w:eastAsia="宋体"/>
                <w:sz w:val="24"/>
                <w:szCs w:val="24"/>
                <w:lang w:eastAsia="zh-CN"/>
              </w:rPr>
            </w:pPr>
            <w:r>
              <w:rPr>
                <w:rFonts w:hint="eastAsia"/>
                <w:sz w:val="24"/>
                <w:szCs w:val="24"/>
                <w:lang w:eastAsia="zh-CN"/>
              </w:rPr>
              <w:t>mm</w:t>
            </w:r>
          </w:p>
        </w:tc>
        <w:tc>
          <w:tcPr>
            <w:tcW w:w="1596" w:type="dxa"/>
            <w:vAlign w:val="top"/>
          </w:tcPr>
          <w:p w14:paraId="1B79B01B">
            <w:pPr>
              <w:rPr>
                <w:sz w:val="24"/>
                <w:szCs w:val="24"/>
              </w:rPr>
            </w:pPr>
            <w:r>
              <w:rPr>
                <w:sz w:val="24"/>
                <w:szCs w:val="24"/>
              </w:rPr>
              <w:t>150.5</w:t>
            </w:r>
          </w:p>
        </w:tc>
        <w:tc>
          <w:tcPr>
            <w:tcW w:w="1466" w:type="dxa"/>
            <w:vAlign w:val="top"/>
          </w:tcPr>
          <w:p w14:paraId="3B5DCA1C">
            <w:pPr>
              <w:rPr>
                <w:sz w:val="24"/>
                <w:szCs w:val="24"/>
              </w:rPr>
            </w:pPr>
            <w:r>
              <w:rPr>
                <w:sz w:val="24"/>
                <w:szCs w:val="24"/>
              </w:rPr>
              <w:t>163.8</w:t>
            </w:r>
          </w:p>
        </w:tc>
      </w:tr>
      <w:tr w14:paraId="53E24F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89" w:type="dxa"/>
            <w:tcBorders>
              <w:left w:val="single" w:color="000000" w:sz="6" w:space="0"/>
            </w:tcBorders>
            <w:vAlign w:val="top"/>
          </w:tcPr>
          <w:p w14:paraId="2BECC8A0">
            <w:pPr>
              <w:rPr>
                <w:sz w:val="24"/>
                <w:szCs w:val="24"/>
              </w:rPr>
            </w:pPr>
            <w:r>
              <w:rPr>
                <w:sz w:val="24"/>
                <w:szCs w:val="24"/>
              </w:rPr>
              <w:t>4</w:t>
            </w:r>
          </w:p>
        </w:tc>
        <w:tc>
          <w:tcPr>
            <w:tcW w:w="2404" w:type="dxa"/>
            <w:vAlign w:val="top"/>
          </w:tcPr>
          <w:p w14:paraId="488E8551">
            <w:pPr>
              <w:rPr>
                <w:sz w:val="24"/>
                <w:szCs w:val="24"/>
              </w:rPr>
            </w:pPr>
            <w:r>
              <w:rPr>
                <w:sz w:val="24"/>
                <w:szCs w:val="24"/>
              </w:rPr>
              <w:t>洪峰Q</w:t>
            </w:r>
            <w:r>
              <w:rPr>
                <w:sz w:val="24"/>
                <w:szCs w:val="24"/>
                <w:vertAlign w:val="subscript"/>
              </w:rPr>
              <w:t>p</w:t>
            </w:r>
          </w:p>
        </w:tc>
        <w:tc>
          <w:tcPr>
            <w:tcW w:w="1805" w:type="dxa"/>
            <w:vAlign w:val="top"/>
          </w:tcPr>
          <w:p w14:paraId="7A3F314B">
            <w:pPr>
              <w:rPr>
                <w:sz w:val="24"/>
                <w:szCs w:val="24"/>
              </w:rPr>
            </w:pPr>
            <w:r>
              <w:rPr>
                <w:rFonts w:hint="eastAsia"/>
                <w:sz w:val="24"/>
                <w:szCs w:val="24"/>
                <w:vertAlign w:val="baseline"/>
                <w:lang w:eastAsia="zh-CN"/>
              </w:rPr>
              <w:t>m</w:t>
            </w:r>
            <w:r>
              <w:rPr>
                <w:rFonts w:hint="eastAsia"/>
                <w:sz w:val="24"/>
                <w:szCs w:val="24"/>
                <w:vertAlign w:val="superscript"/>
                <w:lang w:eastAsia="zh-CN"/>
              </w:rPr>
              <w:t>3</w:t>
            </w:r>
            <w:r>
              <w:rPr>
                <w:sz w:val="24"/>
                <w:szCs w:val="24"/>
              </w:rPr>
              <w:t>/s</w:t>
            </w:r>
          </w:p>
        </w:tc>
        <w:tc>
          <w:tcPr>
            <w:tcW w:w="1596" w:type="dxa"/>
            <w:vAlign w:val="top"/>
          </w:tcPr>
          <w:p w14:paraId="4EB39D8B">
            <w:pPr>
              <w:rPr>
                <w:sz w:val="24"/>
                <w:szCs w:val="24"/>
              </w:rPr>
            </w:pPr>
            <w:r>
              <w:rPr>
                <w:sz w:val="24"/>
                <w:szCs w:val="24"/>
              </w:rPr>
              <w:t>4.83</w:t>
            </w:r>
          </w:p>
        </w:tc>
        <w:tc>
          <w:tcPr>
            <w:tcW w:w="1466" w:type="dxa"/>
            <w:vAlign w:val="top"/>
          </w:tcPr>
          <w:p w14:paraId="5C47FB2E">
            <w:pPr>
              <w:rPr>
                <w:sz w:val="24"/>
                <w:szCs w:val="24"/>
              </w:rPr>
            </w:pPr>
            <w:r>
              <w:rPr>
                <w:sz w:val="24"/>
                <w:szCs w:val="24"/>
              </w:rPr>
              <w:t>5.39</w:t>
            </w:r>
          </w:p>
        </w:tc>
      </w:tr>
      <w:tr w14:paraId="0929C9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89" w:type="dxa"/>
            <w:tcBorders>
              <w:left w:val="single" w:color="000000" w:sz="6" w:space="0"/>
            </w:tcBorders>
            <w:vAlign w:val="top"/>
          </w:tcPr>
          <w:p w14:paraId="78371CB9">
            <w:pPr>
              <w:rPr>
                <w:sz w:val="24"/>
                <w:szCs w:val="24"/>
              </w:rPr>
            </w:pPr>
            <w:r>
              <w:rPr>
                <w:sz w:val="24"/>
                <w:szCs w:val="24"/>
              </w:rPr>
              <w:t>5</w:t>
            </w:r>
          </w:p>
        </w:tc>
        <w:tc>
          <w:tcPr>
            <w:tcW w:w="2404" w:type="dxa"/>
            <w:vAlign w:val="top"/>
          </w:tcPr>
          <w:p w14:paraId="16293F12">
            <w:pPr>
              <w:rPr>
                <w:sz w:val="24"/>
                <w:szCs w:val="24"/>
              </w:rPr>
            </w:pPr>
            <w:r>
              <w:rPr>
                <w:sz w:val="24"/>
                <w:szCs w:val="24"/>
              </w:rPr>
              <w:t>洪量W</w:t>
            </w:r>
            <w:r>
              <w:rPr>
                <w:sz w:val="24"/>
                <w:szCs w:val="24"/>
                <w:vertAlign w:val="subscript"/>
              </w:rPr>
              <w:t>p</w:t>
            </w:r>
          </w:p>
        </w:tc>
        <w:tc>
          <w:tcPr>
            <w:tcW w:w="1805" w:type="dxa"/>
            <w:vAlign w:val="top"/>
          </w:tcPr>
          <w:p w14:paraId="316942F2">
            <w:pPr>
              <w:rPr>
                <w:sz w:val="24"/>
                <w:szCs w:val="24"/>
              </w:rPr>
            </w:pPr>
            <w:r>
              <w:rPr>
                <w:sz w:val="24"/>
                <w:szCs w:val="24"/>
              </w:rPr>
              <w:t>万</w:t>
            </w:r>
            <w:r>
              <w:rPr>
                <w:rFonts w:hint="eastAsia"/>
                <w:sz w:val="24"/>
                <w:szCs w:val="24"/>
                <w:vertAlign w:val="baseline"/>
                <w:lang w:eastAsia="zh-CN"/>
              </w:rPr>
              <w:t>m</w:t>
            </w:r>
            <w:r>
              <w:rPr>
                <w:rFonts w:hint="eastAsia"/>
                <w:sz w:val="24"/>
                <w:szCs w:val="24"/>
                <w:vertAlign w:val="superscript"/>
                <w:lang w:eastAsia="zh-CN"/>
              </w:rPr>
              <w:t>3</w:t>
            </w:r>
            <w:r>
              <w:rPr>
                <w:sz w:val="24"/>
                <w:szCs w:val="24"/>
              </w:rPr>
              <w:t>/d</w:t>
            </w:r>
          </w:p>
        </w:tc>
        <w:tc>
          <w:tcPr>
            <w:tcW w:w="1596" w:type="dxa"/>
            <w:vAlign w:val="top"/>
          </w:tcPr>
          <w:p w14:paraId="0E1BF733">
            <w:pPr>
              <w:rPr>
                <w:sz w:val="24"/>
                <w:szCs w:val="24"/>
              </w:rPr>
            </w:pPr>
            <w:r>
              <w:rPr>
                <w:sz w:val="24"/>
                <w:szCs w:val="24"/>
              </w:rPr>
              <w:t>4.58</w:t>
            </w:r>
          </w:p>
        </w:tc>
        <w:tc>
          <w:tcPr>
            <w:tcW w:w="1466" w:type="dxa"/>
            <w:vAlign w:val="top"/>
          </w:tcPr>
          <w:p w14:paraId="1F276817">
            <w:pPr>
              <w:rPr>
                <w:sz w:val="24"/>
                <w:szCs w:val="24"/>
              </w:rPr>
            </w:pPr>
            <w:r>
              <w:rPr>
                <w:sz w:val="24"/>
                <w:szCs w:val="24"/>
              </w:rPr>
              <w:t>5.11</w:t>
            </w:r>
          </w:p>
        </w:tc>
      </w:tr>
      <w:tr w14:paraId="774373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1589" w:type="dxa"/>
            <w:tcBorders>
              <w:left w:val="single" w:color="000000" w:sz="6" w:space="0"/>
              <w:bottom w:val="single" w:color="000000" w:sz="6" w:space="0"/>
            </w:tcBorders>
            <w:vAlign w:val="top"/>
          </w:tcPr>
          <w:p w14:paraId="17557582">
            <w:pPr>
              <w:rPr>
                <w:sz w:val="24"/>
                <w:szCs w:val="24"/>
              </w:rPr>
            </w:pPr>
            <w:r>
              <w:rPr>
                <w:sz w:val="24"/>
                <w:szCs w:val="24"/>
              </w:rPr>
              <w:t>6</w:t>
            </w:r>
          </w:p>
        </w:tc>
        <w:tc>
          <w:tcPr>
            <w:tcW w:w="2404" w:type="dxa"/>
            <w:tcBorders>
              <w:bottom w:val="single" w:color="000000" w:sz="6" w:space="0"/>
            </w:tcBorders>
            <w:vAlign w:val="top"/>
          </w:tcPr>
          <w:p w14:paraId="115DDED2">
            <w:pPr>
              <w:rPr>
                <w:sz w:val="24"/>
                <w:szCs w:val="24"/>
              </w:rPr>
            </w:pPr>
            <w:r>
              <w:rPr>
                <w:sz w:val="24"/>
                <w:szCs w:val="24"/>
              </w:rPr>
              <w:t>峰量比Q</w:t>
            </w:r>
            <w:r>
              <w:rPr>
                <w:sz w:val="24"/>
                <w:szCs w:val="24"/>
                <w:vertAlign w:val="subscript"/>
              </w:rPr>
              <w:t>p</w:t>
            </w:r>
            <w:r>
              <w:rPr>
                <w:sz w:val="24"/>
                <w:szCs w:val="24"/>
              </w:rPr>
              <w:t>/W</w:t>
            </w:r>
            <w:r>
              <w:rPr>
                <w:sz w:val="24"/>
                <w:szCs w:val="24"/>
                <w:vertAlign w:val="subscript"/>
              </w:rPr>
              <w:t>p</w:t>
            </w:r>
          </w:p>
        </w:tc>
        <w:tc>
          <w:tcPr>
            <w:tcW w:w="1805" w:type="dxa"/>
            <w:tcBorders>
              <w:bottom w:val="single" w:color="000000" w:sz="6" w:space="0"/>
            </w:tcBorders>
            <w:vAlign w:val="top"/>
          </w:tcPr>
          <w:p w14:paraId="15FDA295">
            <w:pPr>
              <w:rPr>
                <w:sz w:val="24"/>
                <w:szCs w:val="24"/>
              </w:rPr>
            </w:pPr>
          </w:p>
        </w:tc>
        <w:tc>
          <w:tcPr>
            <w:tcW w:w="1596" w:type="dxa"/>
            <w:tcBorders>
              <w:bottom w:val="single" w:color="000000" w:sz="6" w:space="0"/>
            </w:tcBorders>
            <w:vAlign w:val="top"/>
          </w:tcPr>
          <w:p w14:paraId="44D8A30A">
            <w:pPr>
              <w:rPr>
                <w:sz w:val="24"/>
                <w:szCs w:val="24"/>
              </w:rPr>
            </w:pPr>
            <w:r>
              <w:rPr>
                <w:sz w:val="24"/>
                <w:szCs w:val="24"/>
              </w:rPr>
              <w:t>1.054</w:t>
            </w:r>
          </w:p>
        </w:tc>
        <w:tc>
          <w:tcPr>
            <w:tcW w:w="1466" w:type="dxa"/>
            <w:tcBorders>
              <w:bottom w:val="single" w:color="000000" w:sz="6" w:space="0"/>
            </w:tcBorders>
            <w:vAlign w:val="top"/>
          </w:tcPr>
          <w:p w14:paraId="653A2A6A">
            <w:pPr>
              <w:rPr>
                <w:sz w:val="24"/>
                <w:szCs w:val="24"/>
              </w:rPr>
            </w:pPr>
            <w:r>
              <w:rPr>
                <w:sz w:val="24"/>
                <w:szCs w:val="24"/>
              </w:rPr>
              <w:t>1.055</w:t>
            </w:r>
          </w:p>
        </w:tc>
      </w:tr>
    </w:tbl>
    <w:p w14:paraId="73E71632">
      <w:r>
        <w:t>本次闭库设计计算200年一遇洪峰流量为5.39</w:t>
      </w:r>
      <w:r>
        <w:rPr>
          <w:rFonts w:hint="eastAsia"/>
          <w:vertAlign w:val="baseline"/>
          <w:lang w:eastAsia="zh-CN"/>
        </w:rPr>
        <w:t>m</w:t>
      </w:r>
      <w:r>
        <w:rPr>
          <w:rFonts w:hint="eastAsia"/>
          <w:vertAlign w:val="superscript"/>
          <w:lang w:eastAsia="zh-CN"/>
        </w:rPr>
        <w:t>3</w:t>
      </w:r>
      <w:r>
        <w:t>/s，从峰量比来看，比较符合该尾矿库实际情况。</w:t>
      </w:r>
    </w:p>
    <w:p w14:paraId="26C226C8">
      <w:pPr>
        <w:pStyle w:val="6"/>
        <w:outlineLvl w:val="3"/>
        <w:rPr>
          <w:color w:val="auto"/>
        </w:rPr>
      </w:pPr>
      <w:r>
        <w:rPr>
          <w:rFonts w:hint="eastAsia"/>
          <w:color w:val="auto"/>
          <w:lang w:val="en-US" w:eastAsia="zh-CN"/>
        </w:rPr>
        <w:t>闭库</w:t>
      </w:r>
      <w:r>
        <w:rPr>
          <w:color w:val="auto"/>
        </w:rPr>
        <w:t>排洪</w:t>
      </w:r>
      <w:r>
        <w:rPr>
          <w:rFonts w:hint="eastAsia"/>
          <w:color w:val="auto"/>
          <w:lang w:val="en-US" w:eastAsia="zh-CN"/>
        </w:rPr>
        <w:t>方案</w:t>
      </w:r>
    </w:p>
    <w:p w14:paraId="1C5275A7">
      <w:pPr>
        <w:numPr>
          <w:ilvl w:val="0"/>
          <w:numId w:val="0"/>
        </w:numPr>
        <w:ind w:firstLine="560" w:firstLineChars="200"/>
        <w:rPr>
          <w:rFonts w:hint="eastAsia"/>
          <w:color w:val="auto"/>
          <w:lang w:val="en-US" w:eastAsia="zh-CN"/>
        </w:rPr>
      </w:pPr>
      <w:r>
        <w:rPr>
          <w:rFonts w:hint="eastAsia" w:ascii="Times New Roman" w:hAnsi="Times New Roman" w:eastAsia="宋体" w:cs="Times New Roman"/>
          <w:snapToGrid w:val="0"/>
          <w:color w:val="auto"/>
          <w:sz w:val="28"/>
          <w:szCs w:val="28"/>
          <w:lang w:val="en-US" w:eastAsia="zh-CN" w:bidi="ar-SA"/>
        </w:rPr>
        <w:t>1、</w:t>
      </w:r>
      <w:r>
        <w:rPr>
          <w:rFonts w:hint="eastAsia"/>
          <w:color w:val="auto"/>
          <w:lang w:val="en-US" w:eastAsia="zh-CN"/>
        </w:rPr>
        <w:t>库外</w:t>
      </w:r>
    </w:p>
    <w:p w14:paraId="662B26FC">
      <w:pPr>
        <w:rPr>
          <w:rFonts w:hint="eastAsia"/>
          <w:lang w:val="en-US" w:eastAsia="zh-CN"/>
        </w:rPr>
      </w:pPr>
      <w:r>
        <w:rPr>
          <w:rFonts w:hint="eastAsia"/>
          <w:lang w:val="en-US" w:eastAsia="zh-CN"/>
        </w:rPr>
        <w:t>在库区尾部新修挡水坝和左岸截洪沟，把库外洪水拦截排出库外。</w:t>
      </w:r>
    </w:p>
    <w:p w14:paraId="51CF855E">
      <w:pPr>
        <w:rPr>
          <w:rFonts w:hint="eastAsia"/>
          <w:lang w:val="en-US" w:eastAsia="zh-CN"/>
        </w:rPr>
      </w:pPr>
      <w:r>
        <w:rPr>
          <w:rFonts w:hint="eastAsia"/>
          <w:lang w:val="en-US" w:eastAsia="zh-CN"/>
        </w:rPr>
        <w:t>（1）挡水坝设计采用粉质黏土作为基础持力层。库尾挡水坝顶宽1.5m，坝高3m（不含地面以下2m），坝顶标高1913.0m，内坡比1:0.2，外坡比1:0.4，m10浆砌石结构。</w:t>
      </w:r>
    </w:p>
    <w:p w14:paraId="5DEB97BE">
      <w:pPr>
        <w:rPr>
          <w:rFonts w:hint="eastAsia"/>
          <w:lang w:val="en-US" w:eastAsia="zh-CN"/>
        </w:rPr>
      </w:pPr>
      <w:r>
        <w:rPr>
          <w:rFonts w:hint="eastAsia"/>
          <w:lang w:val="en-US" w:eastAsia="zh-CN"/>
        </w:rPr>
        <w:t>（2）左岸新修截洪沟，为矩形断面，断面为：1.2m*1.2m，为m7.5浆砌石结构，其中ZJ1-ZJ3段修筑最小坡度为2%，ZJ3-ZJ10段修筑最小坡度为1%，</w:t>
      </w:r>
      <w:r>
        <w:rPr>
          <w:rFonts w:hint="eastAsia"/>
          <w:highlight w:val="none"/>
          <w:lang w:val="en-US" w:eastAsia="zh-CN"/>
        </w:rPr>
        <w:t>左岸截洪沟进水口采用直径为25mm的钢筋焊接一长度为1m，宽度与截洪沟宽度一致,高度至挡水坝坝顶面的一防堵钢筋笼。</w:t>
      </w:r>
    </w:p>
    <w:p w14:paraId="53FE85BD">
      <w:pPr>
        <w:numPr>
          <w:ilvl w:val="0"/>
          <w:numId w:val="0"/>
        </w:numPr>
        <w:ind w:firstLine="560" w:firstLineChars="200"/>
        <w:rPr>
          <w:rFonts w:hint="eastAsia"/>
          <w:lang w:val="en-US" w:eastAsia="zh-CN"/>
        </w:rPr>
      </w:pPr>
      <w:r>
        <w:rPr>
          <w:rFonts w:hint="eastAsia" w:ascii="Times New Roman" w:hAnsi="Times New Roman" w:eastAsia="宋体" w:cs="Times New Roman"/>
          <w:snapToGrid w:val="0"/>
          <w:color w:val="000000"/>
          <w:sz w:val="28"/>
          <w:szCs w:val="28"/>
          <w:lang w:val="en-US" w:eastAsia="zh-CN" w:bidi="ar-SA"/>
        </w:rPr>
        <w:t>2、</w:t>
      </w:r>
      <w:r>
        <w:rPr>
          <w:rFonts w:hint="eastAsia"/>
          <w:lang w:val="en-US" w:eastAsia="zh-CN"/>
        </w:rPr>
        <w:t>库内</w:t>
      </w:r>
    </w:p>
    <w:p w14:paraId="3F0BD5C1">
      <w:pPr>
        <w:rPr>
          <w:rFonts w:hint="default"/>
          <w:lang w:val="en-US" w:eastAsia="zh-CN"/>
        </w:rPr>
      </w:pPr>
      <w:r>
        <w:rPr>
          <w:rFonts w:hint="default"/>
          <w:lang w:val="en-US" w:eastAsia="zh-CN"/>
        </w:rPr>
        <w:t>库内采用库面雨水沟和库面排水沟把库内及右岸洪水引至左岸截洪沟ZJ1-ZJ3段后排出库外。</w:t>
      </w:r>
    </w:p>
    <w:p w14:paraId="05848FAA">
      <w:pPr>
        <w:rPr>
          <w:rFonts w:hint="default"/>
          <w:lang w:val="en-US" w:eastAsia="zh-CN"/>
        </w:rPr>
      </w:pPr>
      <w:r>
        <w:rPr>
          <w:rFonts w:hint="eastAsia"/>
          <w:lang w:val="en-US" w:eastAsia="zh-CN"/>
        </w:rPr>
        <w:t>（1）</w:t>
      </w:r>
      <w:r>
        <w:rPr>
          <w:rFonts w:hint="default"/>
          <w:lang w:val="en-US" w:eastAsia="zh-CN"/>
        </w:rPr>
        <w:t>库面排水沟断面为0.8</w:t>
      </w:r>
      <w:r>
        <w:rPr>
          <w:rFonts w:hint="eastAsia"/>
          <w:lang w:val="en-US" w:eastAsia="zh-CN"/>
        </w:rPr>
        <w:t>m</w:t>
      </w:r>
      <w:r>
        <w:rPr>
          <w:rFonts w:hint="default"/>
          <w:lang w:val="en-US" w:eastAsia="zh-CN"/>
        </w:rPr>
        <w:t>*0.8</w:t>
      </w:r>
      <w:r>
        <w:rPr>
          <w:rFonts w:hint="eastAsia"/>
          <w:lang w:val="en-US" w:eastAsia="zh-CN"/>
        </w:rPr>
        <w:t>m</w:t>
      </w:r>
      <w:r>
        <w:rPr>
          <w:rFonts w:hint="default"/>
          <w:lang w:val="en-US" w:eastAsia="zh-CN"/>
        </w:rPr>
        <w:t>，砖砌结构，最小坡度1%，采用1:2水泥砂浆抹面，其排水能力在1.61</w:t>
      </w:r>
      <w:r>
        <w:rPr>
          <w:rFonts w:hint="eastAsia"/>
          <w:vertAlign w:val="baseline"/>
          <w:lang w:val="en-US" w:eastAsia="zh-CN"/>
        </w:rPr>
        <w:t>m</w:t>
      </w:r>
      <w:r>
        <w:rPr>
          <w:rFonts w:hint="eastAsia"/>
          <w:vertAlign w:val="superscript"/>
          <w:lang w:val="en-US" w:eastAsia="zh-CN"/>
        </w:rPr>
        <w:t>3</w:t>
      </w:r>
      <w:r>
        <w:rPr>
          <w:rFonts w:hint="default"/>
          <w:lang w:val="en-US" w:eastAsia="zh-CN"/>
        </w:rPr>
        <w:t>/s以上，大于库内200年一遇的洪峰流量1.54</w:t>
      </w:r>
      <w:r>
        <w:rPr>
          <w:rFonts w:hint="eastAsia"/>
          <w:vertAlign w:val="baseline"/>
          <w:lang w:val="en-US" w:eastAsia="zh-CN"/>
        </w:rPr>
        <w:t>m</w:t>
      </w:r>
      <w:r>
        <w:rPr>
          <w:rFonts w:hint="eastAsia"/>
          <w:vertAlign w:val="superscript"/>
          <w:lang w:val="en-US" w:eastAsia="zh-CN"/>
        </w:rPr>
        <w:t>3</w:t>
      </w:r>
      <w:r>
        <w:rPr>
          <w:rFonts w:hint="default"/>
          <w:lang w:val="en-US" w:eastAsia="zh-CN"/>
        </w:rPr>
        <w:t>/s，可保证库内雨水顺利排出。</w:t>
      </w:r>
    </w:p>
    <w:p w14:paraId="1F0BA3AC">
      <w:pPr>
        <w:rPr>
          <w:rFonts w:hint="default"/>
          <w:lang w:val="en-US" w:eastAsia="zh-CN"/>
        </w:rPr>
      </w:pPr>
      <w:r>
        <w:rPr>
          <w:rFonts w:hint="eastAsia"/>
          <w:lang w:val="en-US" w:eastAsia="zh-CN"/>
        </w:rPr>
        <w:t>（2）</w:t>
      </w:r>
      <w:r>
        <w:rPr>
          <w:rFonts w:hint="default"/>
          <w:lang w:val="en-US" w:eastAsia="zh-CN"/>
        </w:rPr>
        <w:t>库面雨水沟断面为0.4</w:t>
      </w:r>
      <w:r>
        <w:rPr>
          <w:rFonts w:hint="eastAsia"/>
          <w:lang w:val="en-US" w:eastAsia="zh-CN"/>
        </w:rPr>
        <w:t>m</w:t>
      </w:r>
      <w:r>
        <w:rPr>
          <w:rFonts w:hint="default"/>
          <w:lang w:val="en-US" w:eastAsia="zh-CN"/>
        </w:rPr>
        <w:t>*0.4</w:t>
      </w:r>
      <w:r>
        <w:rPr>
          <w:rFonts w:hint="eastAsia"/>
          <w:lang w:val="en-US" w:eastAsia="zh-CN"/>
        </w:rPr>
        <w:t>m</w:t>
      </w:r>
      <w:r>
        <w:rPr>
          <w:rFonts w:hint="default"/>
          <w:lang w:val="en-US" w:eastAsia="zh-CN"/>
        </w:rPr>
        <w:t>，砖砌结构，最小坡度1%，采用1:2水泥砂浆抹面，主要起导流作用。</w:t>
      </w:r>
    </w:p>
    <w:p w14:paraId="3AD27097">
      <w:pPr>
        <w:numPr>
          <w:ilvl w:val="0"/>
          <w:numId w:val="0"/>
        </w:numPr>
        <w:ind w:firstLine="560" w:firstLineChars="200"/>
        <w:rPr>
          <w:rFonts w:hint="eastAsia"/>
          <w:lang w:val="en-US" w:eastAsia="zh-CN"/>
        </w:rPr>
      </w:pPr>
      <w:r>
        <w:rPr>
          <w:rFonts w:hint="eastAsia" w:ascii="Times New Roman" w:hAnsi="Times New Roman" w:eastAsia="宋体" w:cs="Times New Roman"/>
          <w:snapToGrid w:val="0"/>
          <w:color w:val="000000"/>
          <w:sz w:val="28"/>
          <w:szCs w:val="28"/>
          <w:lang w:val="en-US" w:eastAsia="zh-CN" w:bidi="ar-SA"/>
        </w:rPr>
        <w:t>3、</w:t>
      </w:r>
      <w:r>
        <w:rPr>
          <w:rFonts w:hint="eastAsia"/>
          <w:lang w:val="en-US" w:eastAsia="zh-CN"/>
        </w:rPr>
        <w:t>其他</w:t>
      </w:r>
    </w:p>
    <w:p w14:paraId="0CB58FED">
      <w:pPr>
        <w:rPr>
          <w:rFonts w:hint="default"/>
          <w:lang w:val="en-US" w:eastAsia="zh-CN"/>
        </w:rPr>
      </w:pPr>
      <w:r>
        <w:rPr>
          <w:rFonts w:hint="default"/>
          <w:lang w:val="en-US" w:eastAsia="zh-CN"/>
        </w:rPr>
        <w:t>（1）疏通及修缮坝面排水沟和坝肩排水沟</w:t>
      </w:r>
      <w:r>
        <w:rPr>
          <w:rFonts w:hint="eastAsia"/>
          <w:lang w:val="en-US" w:eastAsia="zh-CN"/>
        </w:rPr>
        <w:t>；</w:t>
      </w:r>
    </w:p>
    <w:p w14:paraId="72323D7E">
      <w:pPr>
        <w:rPr>
          <w:rFonts w:hint="default"/>
          <w:lang w:val="en-US" w:eastAsia="zh-CN"/>
        </w:rPr>
      </w:pPr>
      <w:r>
        <w:rPr>
          <w:rFonts w:hint="default"/>
          <w:lang w:val="en-US" w:eastAsia="zh-CN"/>
        </w:rPr>
        <w:t>（2）对库内排水斜槽进口和排水暗涵出口采用C25混凝土封堵（进出口封堵长度5</w:t>
      </w:r>
      <w:r>
        <w:rPr>
          <w:rFonts w:hint="eastAsia"/>
          <w:lang w:val="en-US" w:eastAsia="zh-CN"/>
        </w:rPr>
        <w:t>m</w:t>
      </w:r>
      <w:r>
        <w:rPr>
          <w:rFonts w:hint="default"/>
          <w:lang w:val="en-US" w:eastAsia="zh-CN"/>
        </w:rPr>
        <w:t>）。</w:t>
      </w:r>
    </w:p>
    <w:p w14:paraId="24B1F55E">
      <w:pPr>
        <w:pStyle w:val="6"/>
        <w:outlineLvl w:val="3"/>
        <w:rPr>
          <w:color w:val="auto"/>
        </w:rPr>
      </w:pPr>
      <w:r>
        <w:rPr>
          <w:rFonts w:hint="eastAsia"/>
          <w:color w:val="auto"/>
          <w:lang w:val="en-US" w:eastAsia="zh-CN"/>
        </w:rPr>
        <w:t>闭库防排洪系统</w:t>
      </w:r>
      <w:r>
        <w:rPr>
          <w:rFonts w:hint="eastAsia"/>
          <w:color w:val="auto"/>
        </w:rPr>
        <w:t>建设情况</w:t>
      </w:r>
      <w:bookmarkEnd w:id="286"/>
    </w:p>
    <w:p w14:paraId="38C8C18F">
      <w:pPr>
        <w:rPr>
          <w:rFonts w:hint="eastAsia"/>
          <w:color w:val="auto"/>
          <w:lang w:val="en-US" w:eastAsia="zh-CN"/>
        </w:rPr>
      </w:pPr>
      <w:r>
        <w:rPr>
          <w:rFonts w:hint="eastAsia"/>
          <w:color w:val="auto"/>
          <w:lang w:val="en-US" w:eastAsia="zh-CN"/>
        </w:rPr>
        <w:t>根据现场勘查及查阅施工资料，防排洪系统已按照设计要求完成施工，具体情况如下：</w:t>
      </w:r>
    </w:p>
    <w:p w14:paraId="4F55ECAE">
      <w:pPr>
        <w:numPr>
          <w:ilvl w:val="0"/>
          <w:numId w:val="0"/>
        </w:numPr>
        <w:adjustRightInd w:val="0"/>
        <w:snapToGrid w:val="0"/>
        <w:ind w:firstLine="560" w:firstLineChars="200"/>
        <w:rPr>
          <w:rFonts w:hint="eastAsia"/>
          <w:color w:val="auto"/>
          <w:sz w:val="28"/>
          <w:szCs w:val="28"/>
          <w:lang w:val="en-US" w:eastAsia="zh-CN"/>
        </w:rPr>
      </w:pPr>
      <w:r>
        <w:rPr>
          <w:rFonts w:hint="eastAsia" w:ascii="Times New Roman" w:hAnsi="Times New Roman" w:eastAsia="宋体" w:cs="Times New Roman"/>
          <w:snapToGrid w:val="0"/>
          <w:color w:val="auto"/>
          <w:sz w:val="28"/>
          <w:szCs w:val="28"/>
          <w:lang w:val="en-US" w:eastAsia="zh-CN" w:bidi="ar-SA"/>
        </w:rPr>
        <w:t>1、</w:t>
      </w:r>
      <w:r>
        <w:rPr>
          <w:rFonts w:hint="eastAsia"/>
          <w:color w:val="auto"/>
          <w:sz w:val="28"/>
          <w:szCs w:val="28"/>
          <w:lang w:val="en-US" w:eastAsia="zh-CN"/>
        </w:rPr>
        <w:t>库外</w:t>
      </w:r>
    </w:p>
    <w:p w14:paraId="0E416F9B">
      <w:pPr>
        <w:rPr>
          <w:rFonts w:hint="default"/>
          <w:color w:val="auto"/>
          <w:lang w:val="en-US" w:eastAsia="zh-CN"/>
        </w:rPr>
      </w:pPr>
      <w:r>
        <w:rPr>
          <w:rFonts w:hint="eastAsia"/>
          <w:color w:val="auto"/>
          <w:lang w:val="en-US" w:eastAsia="zh-CN"/>
        </w:rPr>
        <w:t>（1）库尾新修筑了挡水坝，结构为m10浆砌石，清基深度2m，长度33.7m，下底宽3m，上底宽1.5m，地面线以上高3m，外坡1:0.4，内坡1:0.2，挡水坝每隔10m设置了一沉降缝，沉降缝宽20mm，缝中间回填沥青麻丝。</w:t>
      </w:r>
    </w:p>
    <w:p w14:paraId="29F89E74">
      <w:pPr>
        <w:rPr>
          <w:rFonts w:hint="default"/>
          <w:color w:val="auto"/>
          <w:lang w:val="en-US" w:eastAsia="zh-CN"/>
        </w:rPr>
      </w:pPr>
      <w:r>
        <w:rPr>
          <w:rFonts w:hint="eastAsia"/>
          <w:color w:val="auto"/>
          <w:lang w:val="en-US" w:eastAsia="zh-CN"/>
        </w:rPr>
        <w:t>（2）左岸新建了截洪沟，结构为C15混凝土垫层、m7.5浆砌块石、1:2水泥抹面20mm，总长564m，断面尺寸1.2m*1.2m，滩面段坡度1%-2%，截洪沟每隔10m设置了一沉降缝，沉降缝宽20mm，缝中间回填沥青麻丝。</w:t>
      </w:r>
    </w:p>
    <w:p w14:paraId="4FE44923">
      <w:pPr>
        <w:rPr>
          <w:rFonts w:hint="eastAsia"/>
          <w:color w:val="auto"/>
          <w:lang w:val="en-US" w:eastAsia="zh-CN"/>
        </w:rPr>
      </w:pPr>
      <w:r>
        <w:rPr>
          <w:rFonts w:hint="eastAsia"/>
          <w:color w:val="auto"/>
          <w:lang w:val="en-US" w:eastAsia="zh-CN"/>
        </w:rPr>
        <w:t>跌水段设置了消力坎，消力坎采用m7.5浆砌块石、1:2水泥抹面20mm厚，消力坎高度400mm，宽度400mm。</w:t>
      </w:r>
    </w:p>
    <w:p w14:paraId="298BA3AF">
      <w:pPr>
        <w:rPr>
          <w:rFonts w:hint="default"/>
          <w:color w:val="auto"/>
          <w:lang w:val="en-US" w:eastAsia="zh-CN"/>
        </w:rPr>
      </w:pPr>
      <w:r>
        <w:rPr>
          <w:rFonts w:hint="eastAsia"/>
          <w:color w:val="auto"/>
          <w:lang w:val="en-US" w:eastAsia="zh-CN"/>
        </w:rPr>
        <w:t>截洪沟出口处新建了消能池，垫层为0.1m厚的C15素砼，结构为m7.5浆砌体（砌体厚度0.5m），1:2水泥砂浆抹面，净断面尺寸为3m*1.2m*2.4m。</w:t>
      </w:r>
    </w:p>
    <w:p w14:paraId="31A107A0">
      <w:pPr>
        <w:rPr>
          <w:rFonts w:hint="eastAsia"/>
          <w:color w:val="auto"/>
          <w:highlight w:val="none"/>
          <w:lang w:val="en-US" w:eastAsia="zh-CN"/>
        </w:rPr>
      </w:pPr>
      <w:r>
        <w:rPr>
          <w:rFonts w:hint="eastAsia"/>
          <w:color w:val="auto"/>
          <w:highlight w:val="none"/>
          <w:lang w:val="en-US" w:eastAsia="zh-CN"/>
        </w:rPr>
        <w:t>左岸截洪沟入口处设置了防堵钢筋笼，</w:t>
      </w:r>
      <w:r>
        <w:rPr>
          <w:rFonts w:hint="eastAsia"/>
          <w:highlight w:val="none"/>
          <w:lang w:val="en-US" w:eastAsia="zh-CN"/>
        </w:rPr>
        <w:t>采用直径为25mm的钢筋焊接，长度为1m，宽度1.2m,高度1.2m</w:t>
      </w:r>
      <w:r>
        <w:rPr>
          <w:rFonts w:hint="eastAsia"/>
          <w:color w:val="auto"/>
          <w:highlight w:val="none"/>
          <w:lang w:val="en-US" w:eastAsia="zh-CN"/>
        </w:rPr>
        <w:t>。</w:t>
      </w:r>
    </w:p>
    <w:tbl>
      <w:tblPr>
        <w:tblStyle w:val="5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276"/>
        <w:gridCol w:w="4276"/>
      </w:tblGrid>
      <w:tr w14:paraId="273C1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276" w:type="dxa"/>
            <w:shd w:val="clear" w:color="auto" w:fill="auto"/>
            <w:vAlign w:val="center"/>
          </w:tcPr>
          <w:p w14:paraId="2361B7CE">
            <w:pPr>
              <w:pStyle w:val="90"/>
              <w:jc w:val="center"/>
              <w:rPr>
                <w:rFonts w:hint="default"/>
                <w:color w:val="auto"/>
                <w:vertAlign w:val="baseline"/>
                <w:lang w:val="en-US" w:eastAsia="zh-CN"/>
              </w:rPr>
            </w:pPr>
            <w:r>
              <w:rPr>
                <w:rFonts w:hint="default"/>
                <w:color w:val="auto"/>
                <w:vertAlign w:val="baseline"/>
                <w:lang w:val="en-US" w:eastAsia="zh-CN"/>
              </w:rPr>
              <w:drawing>
                <wp:inline distT="0" distB="0" distL="114300" distR="114300">
                  <wp:extent cx="2567305" cy="1924685"/>
                  <wp:effectExtent l="0" t="0" r="10795" b="5715"/>
                  <wp:docPr id="47" name="图片 47" descr="ee53ad3f00526e6384da06782ebb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ee53ad3f00526e6384da06782ebb616"/>
                          <pic:cNvPicPr>
                            <a:picLocks noChangeAspect="1"/>
                          </pic:cNvPicPr>
                        </pic:nvPicPr>
                        <pic:blipFill>
                          <a:blip r:embed="rId33"/>
                          <a:stretch>
                            <a:fillRect/>
                          </a:stretch>
                        </pic:blipFill>
                        <pic:spPr>
                          <a:xfrm>
                            <a:off x="0" y="0"/>
                            <a:ext cx="2567305" cy="1924685"/>
                          </a:xfrm>
                          <a:prstGeom prst="rect">
                            <a:avLst/>
                          </a:prstGeom>
                        </pic:spPr>
                      </pic:pic>
                    </a:graphicData>
                  </a:graphic>
                </wp:inline>
              </w:drawing>
            </w:r>
          </w:p>
        </w:tc>
        <w:tc>
          <w:tcPr>
            <w:tcW w:w="4276" w:type="dxa"/>
            <w:shd w:val="clear" w:color="auto" w:fill="auto"/>
            <w:vAlign w:val="center"/>
          </w:tcPr>
          <w:p w14:paraId="550A92C1">
            <w:pPr>
              <w:pStyle w:val="90"/>
              <w:jc w:val="center"/>
              <w:rPr>
                <w:rFonts w:hint="default"/>
                <w:color w:val="auto"/>
                <w:vertAlign w:val="baseline"/>
                <w:lang w:val="en-US" w:eastAsia="zh-CN"/>
              </w:rPr>
            </w:pPr>
            <w:r>
              <w:rPr>
                <w:rFonts w:hint="default"/>
                <w:color w:val="auto"/>
                <w:vertAlign w:val="baseline"/>
                <w:lang w:val="en-US" w:eastAsia="zh-CN"/>
              </w:rPr>
              <w:drawing>
                <wp:inline distT="0" distB="0" distL="114300" distR="114300">
                  <wp:extent cx="2567305" cy="1924685"/>
                  <wp:effectExtent l="0" t="0" r="10795" b="5715"/>
                  <wp:docPr id="48" name="图片 48" descr="2fd014397a265b46f435b3e2f2ed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2fd014397a265b46f435b3e2f2ed167"/>
                          <pic:cNvPicPr>
                            <a:picLocks noChangeAspect="1"/>
                          </pic:cNvPicPr>
                        </pic:nvPicPr>
                        <pic:blipFill>
                          <a:blip r:embed="rId34"/>
                          <a:stretch>
                            <a:fillRect/>
                          </a:stretch>
                        </pic:blipFill>
                        <pic:spPr>
                          <a:xfrm>
                            <a:off x="0" y="0"/>
                            <a:ext cx="2567305" cy="1924685"/>
                          </a:xfrm>
                          <a:prstGeom prst="rect">
                            <a:avLst/>
                          </a:prstGeom>
                        </pic:spPr>
                      </pic:pic>
                    </a:graphicData>
                  </a:graphic>
                </wp:inline>
              </w:drawing>
            </w:r>
          </w:p>
        </w:tc>
      </w:tr>
      <w:tr w14:paraId="20E94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6" w:type="dxa"/>
            <w:shd w:val="clear" w:color="auto" w:fill="auto"/>
            <w:vAlign w:val="center"/>
          </w:tcPr>
          <w:p w14:paraId="74303F4F">
            <w:pPr>
              <w:pStyle w:val="90"/>
              <w:jc w:val="center"/>
              <w:rPr>
                <w:rFonts w:hint="default"/>
                <w:color w:val="auto"/>
                <w:vertAlign w:val="baseline"/>
                <w:lang w:val="en-US" w:eastAsia="zh-CN"/>
              </w:rPr>
            </w:pPr>
            <w:r>
              <w:rPr>
                <w:rFonts w:hint="eastAsia"/>
                <w:color w:val="auto"/>
                <w:vertAlign w:val="baseline"/>
                <w:lang w:val="en-US" w:eastAsia="zh-CN"/>
              </w:rPr>
              <w:t>上游挡水坝</w:t>
            </w:r>
          </w:p>
        </w:tc>
        <w:tc>
          <w:tcPr>
            <w:tcW w:w="4276" w:type="dxa"/>
            <w:shd w:val="clear" w:color="auto" w:fill="auto"/>
            <w:vAlign w:val="center"/>
          </w:tcPr>
          <w:p w14:paraId="4322842E">
            <w:pPr>
              <w:pStyle w:val="90"/>
              <w:jc w:val="center"/>
              <w:rPr>
                <w:rFonts w:hint="default"/>
                <w:color w:val="auto"/>
                <w:vertAlign w:val="baseline"/>
                <w:lang w:val="en-US" w:eastAsia="zh-CN"/>
              </w:rPr>
            </w:pPr>
            <w:r>
              <w:rPr>
                <w:rFonts w:hint="eastAsia"/>
                <w:color w:val="auto"/>
                <w:vertAlign w:val="baseline"/>
                <w:lang w:val="en-US" w:eastAsia="zh-CN"/>
              </w:rPr>
              <w:t>左岸截洪沟（喇叭口、人行桥）</w:t>
            </w:r>
          </w:p>
        </w:tc>
      </w:tr>
      <w:tr w14:paraId="59C81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6" w:type="dxa"/>
            <w:shd w:val="clear" w:color="auto" w:fill="auto"/>
            <w:vAlign w:val="center"/>
          </w:tcPr>
          <w:p w14:paraId="11A32751">
            <w:pPr>
              <w:pStyle w:val="90"/>
              <w:jc w:val="center"/>
              <w:rPr>
                <w:rFonts w:hint="eastAsia"/>
                <w:color w:val="auto"/>
                <w:vertAlign w:val="baseline"/>
                <w:lang w:val="en-US" w:eastAsia="zh-CN"/>
              </w:rPr>
            </w:pPr>
            <w:r>
              <w:rPr>
                <w:rFonts w:hint="eastAsia"/>
                <w:color w:val="auto"/>
                <w:vertAlign w:val="baseline"/>
                <w:lang w:val="en-US" w:eastAsia="zh-CN"/>
              </w:rPr>
              <w:drawing>
                <wp:inline distT="0" distB="0" distL="114300" distR="114300">
                  <wp:extent cx="2567305" cy="1924685"/>
                  <wp:effectExtent l="0" t="0" r="10795" b="5715"/>
                  <wp:docPr id="49" name="图片 49" descr="68d80e65c3ab06e13c7a73a9c8ccf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68d80e65c3ab06e13c7a73a9c8ccf68"/>
                          <pic:cNvPicPr>
                            <a:picLocks noChangeAspect="1"/>
                          </pic:cNvPicPr>
                        </pic:nvPicPr>
                        <pic:blipFill>
                          <a:blip r:embed="rId35"/>
                          <a:stretch>
                            <a:fillRect/>
                          </a:stretch>
                        </pic:blipFill>
                        <pic:spPr>
                          <a:xfrm>
                            <a:off x="0" y="0"/>
                            <a:ext cx="2567305" cy="1924685"/>
                          </a:xfrm>
                          <a:prstGeom prst="rect">
                            <a:avLst/>
                          </a:prstGeom>
                        </pic:spPr>
                      </pic:pic>
                    </a:graphicData>
                  </a:graphic>
                </wp:inline>
              </w:drawing>
            </w:r>
          </w:p>
        </w:tc>
        <w:tc>
          <w:tcPr>
            <w:tcW w:w="4276" w:type="dxa"/>
            <w:shd w:val="clear" w:color="auto" w:fill="auto"/>
            <w:vAlign w:val="center"/>
          </w:tcPr>
          <w:p w14:paraId="1D6A81BC">
            <w:pPr>
              <w:pStyle w:val="90"/>
              <w:jc w:val="center"/>
              <w:rPr>
                <w:rFonts w:hint="eastAsia"/>
                <w:color w:val="auto"/>
                <w:vertAlign w:val="baseline"/>
                <w:lang w:val="en-US" w:eastAsia="zh-CN"/>
              </w:rPr>
            </w:pPr>
            <w:r>
              <w:rPr>
                <w:rFonts w:hint="eastAsia"/>
                <w:color w:val="auto"/>
                <w:vertAlign w:val="baseline"/>
                <w:lang w:val="en-US" w:eastAsia="zh-CN"/>
              </w:rPr>
              <w:drawing>
                <wp:inline distT="0" distB="0" distL="114300" distR="114300">
                  <wp:extent cx="2567305" cy="1924685"/>
                  <wp:effectExtent l="0" t="0" r="10795" b="5715"/>
                  <wp:docPr id="50" name="图片 50" descr="65852f392dfd621604da205a5eec0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65852f392dfd621604da205a5eec0bb"/>
                          <pic:cNvPicPr>
                            <a:picLocks noChangeAspect="1"/>
                          </pic:cNvPicPr>
                        </pic:nvPicPr>
                        <pic:blipFill>
                          <a:blip r:embed="rId36"/>
                          <a:stretch>
                            <a:fillRect/>
                          </a:stretch>
                        </pic:blipFill>
                        <pic:spPr>
                          <a:xfrm>
                            <a:off x="0" y="0"/>
                            <a:ext cx="2567305" cy="1924685"/>
                          </a:xfrm>
                          <a:prstGeom prst="rect">
                            <a:avLst/>
                          </a:prstGeom>
                        </pic:spPr>
                      </pic:pic>
                    </a:graphicData>
                  </a:graphic>
                </wp:inline>
              </w:drawing>
            </w:r>
          </w:p>
        </w:tc>
      </w:tr>
      <w:tr w14:paraId="44B5C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6" w:type="dxa"/>
            <w:shd w:val="clear" w:color="auto" w:fill="auto"/>
            <w:vAlign w:val="center"/>
          </w:tcPr>
          <w:p w14:paraId="7F818DD0">
            <w:pPr>
              <w:pStyle w:val="90"/>
              <w:jc w:val="center"/>
              <w:rPr>
                <w:rFonts w:hint="eastAsia"/>
                <w:color w:val="auto"/>
                <w:vertAlign w:val="baseline"/>
                <w:lang w:val="en-US" w:eastAsia="zh-CN"/>
              </w:rPr>
            </w:pPr>
            <w:r>
              <w:rPr>
                <w:rFonts w:hint="eastAsia"/>
                <w:color w:val="auto"/>
                <w:vertAlign w:val="baseline"/>
                <w:lang w:val="en-US" w:eastAsia="zh-CN"/>
              </w:rPr>
              <w:t>左岸截洪沟</w:t>
            </w:r>
          </w:p>
        </w:tc>
        <w:tc>
          <w:tcPr>
            <w:tcW w:w="4276" w:type="dxa"/>
            <w:shd w:val="clear" w:color="auto" w:fill="auto"/>
            <w:vAlign w:val="center"/>
          </w:tcPr>
          <w:p w14:paraId="23145693">
            <w:pPr>
              <w:pStyle w:val="90"/>
              <w:jc w:val="center"/>
              <w:rPr>
                <w:rFonts w:hint="eastAsia"/>
                <w:color w:val="auto"/>
                <w:vertAlign w:val="baseline"/>
                <w:lang w:val="en-US" w:eastAsia="zh-CN"/>
              </w:rPr>
            </w:pPr>
            <w:r>
              <w:rPr>
                <w:rFonts w:hint="eastAsia"/>
                <w:color w:val="auto"/>
                <w:vertAlign w:val="baseline"/>
                <w:lang w:val="en-US" w:eastAsia="zh-CN"/>
              </w:rPr>
              <w:t>左岸截洪沟</w:t>
            </w:r>
          </w:p>
        </w:tc>
      </w:tr>
      <w:tr w14:paraId="1001F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6" w:type="dxa"/>
            <w:shd w:val="clear" w:color="auto" w:fill="auto"/>
            <w:vAlign w:val="center"/>
          </w:tcPr>
          <w:p w14:paraId="2EF418B6">
            <w:pPr>
              <w:pStyle w:val="90"/>
              <w:jc w:val="center"/>
              <w:rPr>
                <w:rFonts w:hint="eastAsia"/>
                <w:color w:val="auto"/>
                <w:vertAlign w:val="baseline"/>
                <w:lang w:val="en-US" w:eastAsia="zh-CN"/>
              </w:rPr>
            </w:pPr>
            <w:r>
              <w:rPr>
                <w:rFonts w:hint="eastAsia"/>
                <w:color w:val="auto"/>
                <w:vertAlign w:val="baseline"/>
                <w:lang w:val="en-US" w:eastAsia="zh-CN"/>
              </w:rPr>
              <w:drawing>
                <wp:inline distT="0" distB="0" distL="114300" distR="114300">
                  <wp:extent cx="2567305" cy="1924685"/>
                  <wp:effectExtent l="0" t="0" r="10795" b="5715"/>
                  <wp:docPr id="51" name="图片 51" descr="8816ed39c0fc9313c6c827832ebc4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8816ed39c0fc9313c6c827832ebc4c0"/>
                          <pic:cNvPicPr>
                            <a:picLocks noChangeAspect="1"/>
                          </pic:cNvPicPr>
                        </pic:nvPicPr>
                        <pic:blipFill>
                          <a:blip r:embed="rId37"/>
                          <a:stretch>
                            <a:fillRect/>
                          </a:stretch>
                        </pic:blipFill>
                        <pic:spPr>
                          <a:xfrm>
                            <a:off x="0" y="0"/>
                            <a:ext cx="2567305" cy="1924685"/>
                          </a:xfrm>
                          <a:prstGeom prst="rect">
                            <a:avLst/>
                          </a:prstGeom>
                        </pic:spPr>
                      </pic:pic>
                    </a:graphicData>
                  </a:graphic>
                </wp:inline>
              </w:drawing>
            </w:r>
          </w:p>
        </w:tc>
        <w:tc>
          <w:tcPr>
            <w:tcW w:w="4276" w:type="dxa"/>
            <w:shd w:val="clear" w:color="auto" w:fill="auto"/>
            <w:vAlign w:val="center"/>
          </w:tcPr>
          <w:p w14:paraId="42AFEAF3">
            <w:pPr>
              <w:pStyle w:val="90"/>
              <w:jc w:val="center"/>
              <w:rPr>
                <w:rFonts w:hint="eastAsia"/>
                <w:color w:val="auto"/>
                <w:vertAlign w:val="baseline"/>
                <w:lang w:val="en-US" w:eastAsia="zh-CN"/>
              </w:rPr>
            </w:pPr>
            <w:r>
              <w:rPr>
                <w:rFonts w:hint="eastAsia"/>
                <w:color w:val="auto"/>
                <w:vertAlign w:val="baseline"/>
                <w:lang w:val="en-US" w:eastAsia="zh-CN"/>
              </w:rPr>
              <w:drawing>
                <wp:inline distT="0" distB="0" distL="114300" distR="114300">
                  <wp:extent cx="2567305" cy="1924685"/>
                  <wp:effectExtent l="0" t="0" r="10795" b="5715"/>
                  <wp:docPr id="52" name="图片 52" descr="8c84a49d915246b2f5de9b99d14ef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8c84a49d915246b2f5de9b99d14ef6a"/>
                          <pic:cNvPicPr>
                            <a:picLocks noChangeAspect="1"/>
                          </pic:cNvPicPr>
                        </pic:nvPicPr>
                        <pic:blipFill>
                          <a:blip r:embed="rId38"/>
                          <a:stretch>
                            <a:fillRect/>
                          </a:stretch>
                        </pic:blipFill>
                        <pic:spPr>
                          <a:xfrm>
                            <a:off x="0" y="0"/>
                            <a:ext cx="2567305" cy="1924685"/>
                          </a:xfrm>
                          <a:prstGeom prst="rect">
                            <a:avLst/>
                          </a:prstGeom>
                        </pic:spPr>
                      </pic:pic>
                    </a:graphicData>
                  </a:graphic>
                </wp:inline>
              </w:drawing>
            </w:r>
          </w:p>
        </w:tc>
      </w:tr>
      <w:tr w14:paraId="5F5F8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6" w:type="dxa"/>
            <w:shd w:val="clear" w:color="auto" w:fill="auto"/>
            <w:vAlign w:val="center"/>
          </w:tcPr>
          <w:p w14:paraId="04F7D036">
            <w:pPr>
              <w:pStyle w:val="90"/>
              <w:jc w:val="center"/>
              <w:rPr>
                <w:rFonts w:hint="eastAsia"/>
                <w:color w:val="auto"/>
                <w:vertAlign w:val="baseline"/>
                <w:lang w:val="en-US" w:eastAsia="zh-CN"/>
              </w:rPr>
            </w:pPr>
            <w:r>
              <w:rPr>
                <w:rFonts w:hint="eastAsia"/>
                <w:color w:val="auto"/>
                <w:vertAlign w:val="baseline"/>
                <w:lang w:val="en-US" w:eastAsia="zh-CN"/>
              </w:rPr>
              <w:t>左岸截洪沟（跌水坎）</w:t>
            </w:r>
          </w:p>
        </w:tc>
        <w:tc>
          <w:tcPr>
            <w:tcW w:w="4276" w:type="dxa"/>
            <w:shd w:val="clear" w:color="auto" w:fill="auto"/>
            <w:vAlign w:val="center"/>
          </w:tcPr>
          <w:p w14:paraId="3ABED835">
            <w:pPr>
              <w:pStyle w:val="90"/>
              <w:jc w:val="center"/>
              <w:rPr>
                <w:rFonts w:hint="eastAsia"/>
                <w:color w:val="auto"/>
                <w:vertAlign w:val="baseline"/>
                <w:lang w:val="en-US" w:eastAsia="zh-CN"/>
              </w:rPr>
            </w:pPr>
            <w:r>
              <w:rPr>
                <w:rFonts w:hint="eastAsia"/>
                <w:color w:val="auto"/>
                <w:vertAlign w:val="baseline"/>
                <w:lang w:val="en-US" w:eastAsia="zh-CN"/>
              </w:rPr>
              <w:t>左岸截洪沟（消能池）</w:t>
            </w:r>
          </w:p>
        </w:tc>
      </w:tr>
      <w:tr w14:paraId="27EF9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6" w:type="dxa"/>
            <w:shd w:val="clear" w:color="auto" w:fill="auto"/>
            <w:vAlign w:val="center"/>
          </w:tcPr>
          <w:p w14:paraId="68BBEDE7">
            <w:pPr>
              <w:pStyle w:val="90"/>
              <w:jc w:val="center"/>
              <w:rPr>
                <w:rFonts w:hint="eastAsia"/>
                <w:color w:val="auto"/>
                <w:vertAlign w:val="baseline"/>
                <w:lang w:val="en-US" w:eastAsia="zh-CN"/>
              </w:rPr>
            </w:pPr>
            <w:r>
              <w:drawing>
                <wp:inline distT="0" distB="0" distL="114300" distR="114300">
                  <wp:extent cx="1703705" cy="1979930"/>
                  <wp:effectExtent l="0" t="0" r="10795" b="127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39"/>
                          <a:stretch>
                            <a:fillRect/>
                          </a:stretch>
                        </pic:blipFill>
                        <pic:spPr>
                          <a:xfrm>
                            <a:off x="0" y="0"/>
                            <a:ext cx="1703705" cy="1979930"/>
                          </a:xfrm>
                          <a:prstGeom prst="rect">
                            <a:avLst/>
                          </a:prstGeom>
                          <a:noFill/>
                          <a:ln>
                            <a:noFill/>
                          </a:ln>
                        </pic:spPr>
                      </pic:pic>
                    </a:graphicData>
                  </a:graphic>
                </wp:inline>
              </w:drawing>
            </w:r>
          </w:p>
        </w:tc>
        <w:tc>
          <w:tcPr>
            <w:tcW w:w="4276" w:type="dxa"/>
            <w:shd w:val="clear" w:color="auto" w:fill="auto"/>
            <w:vAlign w:val="center"/>
          </w:tcPr>
          <w:p w14:paraId="271A9819">
            <w:pPr>
              <w:pStyle w:val="90"/>
              <w:jc w:val="center"/>
              <w:rPr>
                <w:rFonts w:hint="eastAsia"/>
                <w:color w:val="auto"/>
                <w:vertAlign w:val="baseline"/>
                <w:lang w:val="en-US" w:eastAsia="zh-CN"/>
              </w:rPr>
            </w:pPr>
            <w:r>
              <w:drawing>
                <wp:inline distT="0" distB="0" distL="114300" distR="114300">
                  <wp:extent cx="1588135" cy="1979930"/>
                  <wp:effectExtent l="0" t="0" r="12065" b="127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40"/>
                          <a:stretch>
                            <a:fillRect/>
                          </a:stretch>
                        </pic:blipFill>
                        <pic:spPr>
                          <a:xfrm>
                            <a:off x="0" y="0"/>
                            <a:ext cx="1588135" cy="1979930"/>
                          </a:xfrm>
                          <a:prstGeom prst="rect">
                            <a:avLst/>
                          </a:prstGeom>
                          <a:noFill/>
                          <a:ln>
                            <a:noFill/>
                          </a:ln>
                        </pic:spPr>
                      </pic:pic>
                    </a:graphicData>
                  </a:graphic>
                </wp:inline>
              </w:drawing>
            </w:r>
          </w:p>
        </w:tc>
      </w:tr>
      <w:tr w14:paraId="15B7C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2" w:type="dxa"/>
            <w:gridSpan w:val="2"/>
            <w:shd w:val="clear" w:color="auto" w:fill="auto"/>
            <w:vAlign w:val="center"/>
          </w:tcPr>
          <w:p w14:paraId="68B4764F">
            <w:pPr>
              <w:pStyle w:val="90"/>
              <w:jc w:val="center"/>
              <w:rPr>
                <w:rFonts w:hint="eastAsia"/>
                <w:color w:val="auto"/>
                <w:vertAlign w:val="baseline"/>
                <w:lang w:val="en-US" w:eastAsia="zh-CN"/>
              </w:rPr>
            </w:pPr>
            <w:r>
              <w:rPr>
                <w:rFonts w:hint="eastAsia"/>
                <w:color w:val="auto"/>
                <w:highlight w:val="none"/>
                <w:lang w:val="en-US" w:eastAsia="zh-CN"/>
              </w:rPr>
              <w:t>防堵钢筋笼</w:t>
            </w:r>
          </w:p>
        </w:tc>
      </w:tr>
    </w:tbl>
    <w:p w14:paraId="411FC9AB">
      <w:pPr>
        <w:numPr>
          <w:ilvl w:val="0"/>
          <w:numId w:val="0"/>
        </w:numPr>
        <w:ind w:firstLine="560" w:firstLineChars="200"/>
        <w:rPr>
          <w:rFonts w:hint="eastAsia"/>
          <w:color w:val="auto"/>
          <w:highlight w:val="none"/>
          <w:lang w:val="en-US" w:eastAsia="zh-CN"/>
        </w:rPr>
      </w:pPr>
      <w:r>
        <w:rPr>
          <w:rFonts w:hint="eastAsia" w:ascii="Times New Roman" w:hAnsi="Times New Roman" w:eastAsia="宋体" w:cs="Times New Roman"/>
          <w:snapToGrid w:val="0"/>
          <w:color w:val="auto"/>
          <w:sz w:val="28"/>
          <w:szCs w:val="28"/>
          <w:lang w:val="en-US" w:eastAsia="zh-CN" w:bidi="ar-SA"/>
        </w:rPr>
        <w:t>2、</w:t>
      </w:r>
      <w:r>
        <w:rPr>
          <w:rFonts w:hint="eastAsia"/>
          <w:color w:val="auto"/>
          <w:highlight w:val="none"/>
          <w:lang w:val="en-US" w:eastAsia="zh-CN"/>
        </w:rPr>
        <w:t>库内</w:t>
      </w:r>
    </w:p>
    <w:p w14:paraId="333B260E">
      <w:pPr>
        <w:rPr>
          <w:rFonts w:hint="default"/>
          <w:color w:val="auto"/>
          <w:lang w:val="en-US" w:eastAsia="zh-CN"/>
        </w:rPr>
      </w:pPr>
      <w:r>
        <w:rPr>
          <w:rFonts w:hint="eastAsia"/>
          <w:color w:val="auto"/>
          <w:lang w:val="en-US" w:eastAsia="zh-CN"/>
        </w:rPr>
        <w:t>（1）新建库面排水沟239m，垫层为0.2m厚的C15素砼，结构为m5.0砖砌体（砌体厚度0.24m），1:2水泥砂浆抹面，整体坡度平均1%，净断面尺寸为0.8m*0.8m。</w:t>
      </w:r>
    </w:p>
    <w:p w14:paraId="33DD5AF3">
      <w:pPr>
        <w:rPr>
          <w:rFonts w:hint="eastAsia"/>
          <w:color w:val="auto"/>
          <w:lang w:val="en-US" w:eastAsia="zh-CN"/>
        </w:rPr>
      </w:pPr>
      <w:r>
        <w:rPr>
          <w:rFonts w:hint="eastAsia"/>
          <w:color w:val="auto"/>
          <w:lang w:val="en-US" w:eastAsia="zh-CN"/>
        </w:rPr>
        <w:t>（2）新建库面雨水沟1171m，垫层为0.15m的C15素砼，结构为m5.0砖砌体（砌体厚度0.24m），1:2水泥砂浆抹面，整体坡度平均1%，净断面尺寸为0.8m*0.8m。</w:t>
      </w:r>
    </w:p>
    <w:tbl>
      <w:tblPr>
        <w:tblStyle w:val="5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276"/>
        <w:gridCol w:w="4276"/>
      </w:tblGrid>
      <w:tr w14:paraId="1240D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261" w:type="dxa"/>
            <w:shd w:val="clear" w:color="auto" w:fill="auto"/>
            <w:vAlign w:val="center"/>
          </w:tcPr>
          <w:p w14:paraId="43ADFDD1">
            <w:pPr>
              <w:pStyle w:val="90"/>
              <w:jc w:val="center"/>
              <w:rPr>
                <w:rFonts w:hint="default"/>
                <w:color w:val="auto"/>
                <w:vertAlign w:val="baseline"/>
                <w:lang w:val="en-US" w:eastAsia="zh-CN"/>
              </w:rPr>
            </w:pPr>
            <w:r>
              <w:rPr>
                <w:rFonts w:hint="default"/>
                <w:color w:val="auto"/>
                <w:vertAlign w:val="baseline"/>
                <w:lang w:val="en-US" w:eastAsia="zh-CN"/>
              </w:rPr>
              <w:drawing>
                <wp:inline distT="0" distB="0" distL="114300" distR="114300">
                  <wp:extent cx="2567305" cy="1924685"/>
                  <wp:effectExtent l="0" t="0" r="10795" b="5715"/>
                  <wp:docPr id="54" name="图片 54" descr="7c05aad66e3505c8f4078b8f75760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7c05aad66e3505c8f4078b8f75760c2"/>
                          <pic:cNvPicPr>
                            <a:picLocks noChangeAspect="1"/>
                          </pic:cNvPicPr>
                        </pic:nvPicPr>
                        <pic:blipFill>
                          <a:blip r:embed="rId41"/>
                          <a:stretch>
                            <a:fillRect/>
                          </a:stretch>
                        </pic:blipFill>
                        <pic:spPr>
                          <a:xfrm>
                            <a:off x="0" y="0"/>
                            <a:ext cx="2567305" cy="1924685"/>
                          </a:xfrm>
                          <a:prstGeom prst="rect">
                            <a:avLst/>
                          </a:prstGeom>
                        </pic:spPr>
                      </pic:pic>
                    </a:graphicData>
                  </a:graphic>
                </wp:inline>
              </w:drawing>
            </w:r>
          </w:p>
        </w:tc>
        <w:tc>
          <w:tcPr>
            <w:tcW w:w="4261" w:type="dxa"/>
            <w:shd w:val="clear" w:color="auto" w:fill="auto"/>
            <w:vAlign w:val="center"/>
          </w:tcPr>
          <w:p w14:paraId="6ACDF43A">
            <w:pPr>
              <w:pStyle w:val="90"/>
              <w:jc w:val="center"/>
              <w:rPr>
                <w:rFonts w:hint="default"/>
                <w:color w:val="auto"/>
                <w:vertAlign w:val="baseline"/>
                <w:lang w:val="en-US" w:eastAsia="zh-CN"/>
              </w:rPr>
            </w:pPr>
            <w:r>
              <w:rPr>
                <w:rFonts w:hint="default"/>
                <w:color w:val="auto"/>
                <w:vertAlign w:val="baseline"/>
                <w:lang w:val="en-US" w:eastAsia="zh-CN"/>
              </w:rPr>
              <w:drawing>
                <wp:inline distT="0" distB="0" distL="114300" distR="114300">
                  <wp:extent cx="2567305" cy="1924685"/>
                  <wp:effectExtent l="0" t="0" r="10795" b="5715"/>
                  <wp:docPr id="53" name="图片 53" descr="b950841d4a0ce392e5d99b0e8eabb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b950841d4a0ce392e5d99b0e8eabb0c"/>
                          <pic:cNvPicPr>
                            <a:picLocks noChangeAspect="1"/>
                          </pic:cNvPicPr>
                        </pic:nvPicPr>
                        <pic:blipFill>
                          <a:blip r:embed="rId42"/>
                          <a:stretch>
                            <a:fillRect/>
                          </a:stretch>
                        </pic:blipFill>
                        <pic:spPr>
                          <a:xfrm>
                            <a:off x="0" y="0"/>
                            <a:ext cx="2567305" cy="1924685"/>
                          </a:xfrm>
                          <a:prstGeom prst="rect">
                            <a:avLst/>
                          </a:prstGeom>
                        </pic:spPr>
                      </pic:pic>
                    </a:graphicData>
                  </a:graphic>
                </wp:inline>
              </w:drawing>
            </w:r>
          </w:p>
        </w:tc>
      </w:tr>
      <w:tr w14:paraId="57BA4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261" w:type="dxa"/>
            <w:shd w:val="clear" w:color="auto" w:fill="auto"/>
            <w:vAlign w:val="center"/>
          </w:tcPr>
          <w:p w14:paraId="4C46A126">
            <w:pPr>
              <w:pStyle w:val="90"/>
              <w:jc w:val="center"/>
              <w:rPr>
                <w:rFonts w:hint="default"/>
                <w:color w:val="auto"/>
                <w:vertAlign w:val="baseline"/>
                <w:lang w:val="en-US" w:eastAsia="zh-CN"/>
              </w:rPr>
            </w:pPr>
            <w:r>
              <w:rPr>
                <w:rFonts w:hint="eastAsia"/>
                <w:color w:val="auto"/>
                <w:vertAlign w:val="baseline"/>
                <w:lang w:val="en-US" w:eastAsia="zh-CN"/>
              </w:rPr>
              <w:t>库面排水沟</w:t>
            </w:r>
          </w:p>
        </w:tc>
        <w:tc>
          <w:tcPr>
            <w:tcW w:w="4261" w:type="dxa"/>
            <w:shd w:val="clear" w:color="auto" w:fill="auto"/>
            <w:vAlign w:val="center"/>
          </w:tcPr>
          <w:p w14:paraId="6C7CF9D9">
            <w:pPr>
              <w:pStyle w:val="90"/>
              <w:jc w:val="center"/>
              <w:rPr>
                <w:rFonts w:hint="default"/>
                <w:color w:val="auto"/>
                <w:vertAlign w:val="baseline"/>
                <w:lang w:val="en-US" w:eastAsia="zh-CN"/>
              </w:rPr>
            </w:pPr>
            <w:r>
              <w:rPr>
                <w:rFonts w:hint="eastAsia"/>
                <w:color w:val="auto"/>
                <w:vertAlign w:val="baseline"/>
                <w:lang w:val="en-US" w:eastAsia="zh-CN"/>
              </w:rPr>
              <w:t>库面雨水沟</w:t>
            </w:r>
          </w:p>
        </w:tc>
      </w:tr>
    </w:tbl>
    <w:p w14:paraId="7BCA611D">
      <w:pPr>
        <w:rPr>
          <w:rFonts w:hint="default"/>
          <w:color w:val="auto"/>
          <w:lang w:val="en-US" w:eastAsia="zh-CN"/>
        </w:rPr>
      </w:pPr>
      <w:r>
        <w:rPr>
          <w:rFonts w:hint="eastAsia"/>
          <w:color w:val="auto"/>
          <w:lang w:val="en-US" w:eastAsia="zh-CN"/>
        </w:rPr>
        <w:t>3、其他</w:t>
      </w:r>
    </w:p>
    <w:p w14:paraId="32800455">
      <w:pPr>
        <w:rPr>
          <w:rFonts w:hint="eastAsia"/>
          <w:lang w:val="en-US" w:eastAsia="zh-CN"/>
        </w:rPr>
      </w:pPr>
      <w:r>
        <w:rPr>
          <w:rFonts w:hint="default"/>
          <w:lang w:val="en-US" w:eastAsia="zh-CN"/>
        </w:rPr>
        <w:t>（1）</w:t>
      </w:r>
      <w:r>
        <w:rPr>
          <w:rFonts w:hint="eastAsia"/>
          <w:lang w:val="en-US" w:eastAsia="zh-CN"/>
        </w:rPr>
        <w:t>对堆积坝上的排水沟及坝肩沟进行了</w:t>
      </w:r>
      <w:r>
        <w:rPr>
          <w:rFonts w:hint="default"/>
          <w:lang w:val="en-US" w:eastAsia="zh-CN"/>
        </w:rPr>
        <w:t>疏通</w:t>
      </w:r>
      <w:r>
        <w:rPr>
          <w:rFonts w:hint="eastAsia"/>
          <w:lang w:val="en-US" w:eastAsia="zh-CN"/>
        </w:rPr>
        <w:t>、</w:t>
      </w:r>
      <w:r>
        <w:rPr>
          <w:rFonts w:hint="default"/>
          <w:lang w:val="en-US" w:eastAsia="zh-CN"/>
        </w:rPr>
        <w:t>修缮</w:t>
      </w:r>
      <w:r>
        <w:rPr>
          <w:rFonts w:hint="eastAsia"/>
          <w:lang w:val="en-US" w:eastAsia="zh-CN"/>
        </w:rPr>
        <w:t>。</w:t>
      </w:r>
    </w:p>
    <w:p w14:paraId="07A43B81">
      <w:pPr>
        <w:rPr>
          <w:rFonts w:hint="default"/>
          <w:color w:val="auto"/>
          <w:lang w:val="en-US" w:eastAsia="zh-CN"/>
        </w:rPr>
      </w:pPr>
      <w:r>
        <w:rPr>
          <w:rFonts w:hint="default"/>
          <w:lang w:val="en-US" w:eastAsia="zh-CN"/>
        </w:rPr>
        <w:t>（2）对库内排水斜槽进口</w:t>
      </w:r>
      <w:r>
        <w:rPr>
          <w:rFonts w:hint="eastAsia"/>
          <w:lang w:val="en-US" w:eastAsia="zh-CN"/>
        </w:rPr>
        <w:t>5m采用</w:t>
      </w:r>
      <w:r>
        <w:rPr>
          <w:rFonts w:hint="default"/>
          <w:lang w:val="en-US" w:eastAsia="zh-CN"/>
        </w:rPr>
        <w:t>C25混凝土</w:t>
      </w:r>
      <w:r>
        <w:rPr>
          <w:rFonts w:hint="eastAsia"/>
          <w:lang w:val="en-US" w:eastAsia="zh-CN"/>
        </w:rPr>
        <w:t>进行了封堵，对</w:t>
      </w:r>
      <w:r>
        <w:rPr>
          <w:rFonts w:hint="default"/>
          <w:lang w:val="en-US" w:eastAsia="zh-CN"/>
        </w:rPr>
        <w:t>排水暗涵出口</w:t>
      </w:r>
      <w:r>
        <w:rPr>
          <w:rFonts w:hint="eastAsia"/>
          <w:lang w:val="en-US" w:eastAsia="zh-CN"/>
        </w:rPr>
        <w:t>5m</w:t>
      </w:r>
      <w:r>
        <w:rPr>
          <w:rFonts w:hint="default"/>
          <w:lang w:val="en-US" w:eastAsia="zh-CN"/>
        </w:rPr>
        <w:t>采用C25混凝土</w:t>
      </w:r>
      <w:r>
        <w:rPr>
          <w:rFonts w:hint="eastAsia"/>
          <w:lang w:val="en-US" w:eastAsia="zh-CN"/>
        </w:rPr>
        <w:t>进行了</w:t>
      </w:r>
      <w:r>
        <w:rPr>
          <w:rFonts w:hint="default"/>
          <w:lang w:val="en-US" w:eastAsia="zh-CN"/>
        </w:rPr>
        <w:t>封堵</w:t>
      </w:r>
      <w:r>
        <w:rPr>
          <w:rFonts w:hint="eastAsia"/>
          <w:lang w:val="en-US" w:eastAsia="zh-CN"/>
        </w:rPr>
        <w:t>。</w:t>
      </w:r>
    </w:p>
    <w:tbl>
      <w:tblPr>
        <w:tblStyle w:val="5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276"/>
        <w:gridCol w:w="4396"/>
      </w:tblGrid>
      <w:tr w14:paraId="3990A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276" w:type="dxa"/>
            <w:shd w:val="clear" w:color="auto" w:fill="auto"/>
            <w:vAlign w:val="center"/>
          </w:tcPr>
          <w:p w14:paraId="480B884F">
            <w:pPr>
              <w:pStyle w:val="90"/>
              <w:jc w:val="center"/>
              <w:rPr>
                <w:rFonts w:hint="default"/>
                <w:color w:val="auto"/>
                <w:vertAlign w:val="baseline"/>
                <w:lang w:val="en-US" w:eastAsia="zh-CN"/>
              </w:rPr>
            </w:pPr>
            <w:r>
              <w:rPr>
                <w:rFonts w:hint="default"/>
                <w:color w:val="auto"/>
                <w:vertAlign w:val="baseline"/>
                <w:lang w:val="en-US" w:eastAsia="zh-CN"/>
              </w:rPr>
              <w:drawing>
                <wp:inline distT="0" distB="0" distL="114300" distR="114300">
                  <wp:extent cx="2567305" cy="1924685"/>
                  <wp:effectExtent l="0" t="0" r="10795" b="5715"/>
                  <wp:docPr id="55" name="图片 55" descr="2a1be519bf345c3ed7faf278c7dda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2a1be519bf345c3ed7faf278c7dda3c"/>
                          <pic:cNvPicPr>
                            <a:picLocks noChangeAspect="1"/>
                          </pic:cNvPicPr>
                        </pic:nvPicPr>
                        <pic:blipFill>
                          <a:blip r:embed="rId43"/>
                          <a:stretch>
                            <a:fillRect/>
                          </a:stretch>
                        </pic:blipFill>
                        <pic:spPr>
                          <a:xfrm>
                            <a:off x="0" y="0"/>
                            <a:ext cx="2567305" cy="1924685"/>
                          </a:xfrm>
                          <a:prstGeom prst="rect">
                            <a:avLst/>
                          </a:prstGeom>
                        </pic:spPr>
                      </pic:pic>
                    </a:graphicData>
                  </a:graphic>
                </wp:inline>
              </w:drawing>
            </w:r>
          </w:p>
        </w:tc>
        <w:tc>
          <w:tcPr>
            <w:tcW w:w="4396" w:type="dxa"/>
            <w:shd w:val="clear" w:color="auto" w:fill="auto"/>
            <w:vAlign w:val="center"/>
          </w:tcPr>
          <w:p w14:paraId="613E346E">
            <w:pPr>
              <w:pStyle w:val="90"/>
              <w:jc w:val="center"/>
              <w:rPr>
                <w:rFonts w:hint="default"/>
                <w:color w:val="auto"/>
                <w:vertAlign w:val="baseline"/>
                <w:lang w:val="en-US" w:eastAsia="zh-CN"/>
              </w:rPr>
            </w:pPr>
            <w:r>
              <w:rPr>
                <w:color w:val="000000" w:themeColor="text1"/>
                <w14:textFill>
                  <w14:solidFill>
                    <w14:schemeClr w14:val="tx1"/>
                  </w14:solidFill>
                </w14:textFill>
              </w:rPr>
              <w:drawing>
                <wp:inline distT="0" distB="0" distL="114300" distR="114300">
                  <wp:extent cx="2647315" cy="1985645"/>
                  <wp:effectExtent l="0" t="0" r="6985" b="8255"/>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44"/>
                          <a:stretch>
                            <a:fillRect/>
                          </a:stretch>
                        </pic:blipFill>
                        <pic:spPr>
                          <a:xfrm>
                            <a:off x="0" y="0"/>
                            <a:ext cx="2647315" cy="1985645"/>
                          </a:xfrm>
                          <a:prstGeom prst="rect">
                            <a:avLst/>
                          </a:prstGeom>
                          <a:noFill/>
                          <a:ln>
                            <a:noFill/>
                          </a:ln>
                        </pic:spPr>
                      </pic:pic>
                    </a:graphicData>
                  </a:graphic>
                </wp:inline>
              </w:drawing>
            </w:r>
          </w:p>
        </w:tc>
      </w:tr>
      <w:tr w14:paraId="3BE4A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6" w:type="dxa"/>
            <w:shd w:val="clear" w:color="auto" w:fill="auto"/>
            <w:vAlign w:val="center"/>
          </w:tcPr>
          <w:p w14:paraId="05A502B9">
            <w:pPr>
              <w:pStyle w:val="90"/>
              <w:jc w:val="center"/>
              <w:rPr>
                <w:rFonts w:hint="default"/>
                <w:color w:val="auto"/>
                <w:vertAlign w:val="baseline"/>
                <w:lang w:val="en-US" w:eastAsia="zh-CN"/>
              </w:rPr>
            </w:pPr>
            <w:r>
              <w:rPr>
                <w:rFonts w:hint="eastAsia"/>
                <w:color w:val="auto"/>
                <w:vertAlign w:val="baseline"/>
                <w:lang w:val="en-US" w:eastAsia="zh-CN"/>
              </w:rPr>
              <w:t>堆积坝排水沟</w:t>
            </w:r>
          </w:p>
        </w:tc>
        <w:tc>
          <w:tcPr>
            <w:tcW w:w="4396" w:type="dxa"/>
            <w:shd w:val="clear" w:color="auto" w:fill="auto"/>
            <w:vAlign w:val="center"/>
          </w:tcPr>
          <w:p w14:paraId="42EE7CF8">
            <w:pPr>
              <w:pStyle w:val="90"/>
              <w:jc w:val="center"/>
              <w:rPr>
                <w:rFonts w:hint="default"/>
                <w:color w:val="auto"/>
                <w:vertAlign w:val="baseline"/>
                <w:lang w:val="en-US" w:eastAsia="zh-CN"/>
              </w:rPr>
            </w:pPr>
            <w:r>
              <w:rPr>
                <w:rFonts w:hint="eastAsia"/>
                <w:color w:val="auto"/>
                <w:vertAlign w:val="baseline"/>
                <w:lang w:val="en-US" w:eastAsia="zh-CN"/>
              </w:rPr>
              <w:t>堆积坝坝肩沟</w:t>
            </w:r>
          </w:p>
        </w:tc>
      </w:tr>
    </w:tbl>
    <w:p w14:paraId="4BB4B5A7">
      <w:pPr>
        <w:pStyle w:val="6"/>
        <w:outlineLvl w:val="3"/>
        <w:rPr>
          <w:color w:val="auto"/>
        </w:rPr>
      </w:pPr>
      <w:r>
        <w:rPr>
          <w:rFonts w:hint="eastAsia"/>
          <w:color w:val="auto"/>
          <w:lang w:val="en-US" w:eastAsia="zh-CN"/>
        </w:rPr>
        <w:t>闭库防洪结论</w:t>
      </w:r>
    </w:p>
    <w:p w14:paraId="4FE61E78">
      <w:pPr>
        <w:adjustRightInd w:val="0"/>
        <w:snapToGrid w:val="0"/>
        <w:ind w:firstLine="560"/>
        <w:rPr>
          <w:color w:val="auto"/>
        </w:rPr>
      </w:pPr>
      <w:r>
        <w:rPr>
          <w:rFonts w:hint="eastAsia"/>
          <w:color w:val="auto"/>
          <w:sz w:val="28"/>
          <w:szCs w:val="28"/>
        </w:rPr>
        <w:t>闭库后左岸截洪沟、</w:t>
      </w:r>
      <w:r>
        <w:rPr>
          <w:rFonts w:hint="eastAsia"/>
          <w:color w:val="auto"/>
          <w:sz w:val="28"/>
          <w:szCs w:val="28"/>
          <w:lang w:val="en-US" w:eastAsia="zh-CN"/>
        </w:rPr>
        <w:t>滩面雨水沟、滩面排水沟、子坝排水沟、坝肩沟</w:t>
      </w:r>
      <w:r>
        <w:rPr>
          <w:rFonts w:hint="eastAsia"/>
          <w:color w:val="auto"/>
          <w:sz w:val="28"/>
          <w:szCs w:val="28"/>
        </w:rPr>
        <w:t>均能满足尾矿库</w:t>
      </w:r>
      <w:r>
        <w:rPr>
          <w:rFonts w:hint="eastAsia"/>
          <w:color w:val="auto"/>
          <w:sz w:val="28"/>
          <w:szCs w:val="28"/>
          <w:lang w:val="en-US" w:eastAsia="zh-CN"/>
        </w:rPr>
        <w:t>2</w:t>
      </w:r>
      <w:r>
        <w:rPr>
          <w:rFonts w:hint="eastAsia"/>
          <w:color w:val="auto"/>
          <w:sz w:val="28"/>
          <w:szCs w:val="28"/>
        </w:rPr>
        <w:t>00年洪水重现期的防洪要求，尾矿库防洪安全有保障。</w:t>
      </w:r>
    </w:p>
    <w:p w14:paraId="4F7D97FE">
      <w:pPr>
        <w:pStyle w:val="5"/>
        <w:outlineLvl w:val="2"/>
        <w:rPr>
          <w:color w:val="auto"/>
        </w:rPr>
      </w:pPr>
      <w:bookmarkStart w:id="287" w:name="_Toc105057947"/>
      <w:bookmarkStart w:id="288" w:name="_Toc11311"/>
      <w:bookmarkStart w:id="289" w:name="_Toc5780"/>
      <w:r>
        <w:rPr>
          <w:color w:val="auto"/>
        </w:rPr>
        <w:t>安全监测</w:t>
      </w:r>
      <w:bookmarkEnd w:id="287"/>
      <w:bookmarkEnd w:id="288"/>
      <w:bookmarkEnd w:id="289"/>
    </w:p>
    <w:p w14:paraId="6640A065">
      <w:pPr>
        <w:ind w:firstLine="560"/>
        <w:rPr>
          <w:rFonts w:hint="eastAsia"/>
          <w:b/>
          <w:bCs/>
          <w:color w:val="auto"/>
          <w:lang w:val="en-US" w:eastAsia="zh-CN"/>
        </w:rPr>
      </w:pPr>
      <w:r>
        <w:rPr>
          <w:rFonts w:hint="eastAsia"/>
          <w:b/>
          <w:bCs/>
          <w:color w:val="auto"/>
          <w:lang w:val="en-US" w:eastAsia="zh-CN"/>
        </w:rPr>
        <w:t>1、闭库设计情况</w:t>
      </w:r>
    </w:p>
    <w:p w14:paraId="34399FE3">
      <w:pPr>
        <w:adjustRightInd w:val="0"/>
        <w:snapToGrid w:val="0"/>
        <w:ind w:firstLine="560"/>
        <w:rPr>
          <w:rFonts w:hint="default" w:eastAsia="宋体"/>
          <w:color w:val="auto"/>
          <w:sz w:val="28"/>
          <w:szCs w:val="28"/>
          <w:lang w:val="en-US" w:eastAsia="zh-CN"/>
        </w:rPr>
      </w:pPr>
      <w:r>
        <w:rPr>
          <w:rFonts w:hint="eastAsia"/>
          <w:color w:val="auto"/>
          <w:sz w:val="28"/>
          <w:szCs w:val="28"/>
        </w:rPr>
        <w:t>尾矿库为四等库，由于闭库后库内不存水，因此进行一般外表观测和位移沉降观测。</w:t>
      </w:r>
      <w:r>
        <w:rPr>
          <w:rFonts w:hint="eastAsia"/>
          <w:b/>
          <w:bCs/>
          <w:color w:val="auto"/>
          <w:sz w:val="28"/>
          <w:szCs w:val="28"/>
          <w:lang w:val="en-US" w:eastAsia="zh-CN"/>
        </w:rPr>
        <w:t>未设计在线监测系统。</w:t>
      </w:r>
    </w:p>
    <w:p w14:paraId="2F1BCC0E">
      <w:pPr>
        <w:adjustRightInd w:val="0"/>
        <w:snapToGrid w:val="0"/>
        <w:ind w:firstLine="560"/>
        <w:rPr>
          <w:rFonts w:hint="eastAsia"/>
          <w:color w:val="auto"/>
          <w:sz w:val="28"/>
          <w:szCs w:val="28"/>
        </w:rPr>
      </w:pPr>
      <w:r>
        <w:rPr>
          <w:rFonts w:hint="eastAsia"/>
          <w:color w:val="auto"/>
          <w:sz w:val="28"/>
          <w:szCs w:val="28"/>
        </w:rPr>
        <w:t>设计在标高1890.0</w:t>
      </w:r>
      <w:r>
        <w:rPr>
          <w:rFonts w:hint="eastAsia"/>
          <w:color w:val="auto"/>
          <w:sz w:val="28"/>
          <w:szCs w:val="28"/>
          <w:lang w:eastAsia="zh-CN"/>
        </w:rPr>
        <w:t>m</w:t>
      </w:r>
      <w:r>
        <w:rPr>
          <w:rFonts w:hint="eastAsia"/>
          <w:color w:val="auto"/>
          <w:sz w:val="28"/>
          <w:szCs w:val="28"/>
        </w:rPr>
        <w:t>、1900.5</w:t>
      </w:r>
      <w:r>
        <w:rPr>
          <w:rFonts w:hint="eastAsia"/>
          <w:color w:val="auto"/>
          <w:sz w:val="28"/>
          <w:szCs w:val="28"/>
          <w:lang w:eastAsia="zh-CN"/>
        </w:rPr>
        <w:t>m</w:t>
      </w:r>
      <w:r>
        <w:rPr>
          <w:rFonts w:hint="eastAsia"/>
          <w:color w:val="auto"/>
          <w:sz w:val="28"/>
          <w:szCs w:val="28"/>
        </w:rPr>
        <w:t>、1907.5</w:t>
      </w:r>
      <w:r>
        <w:rPr>
          <w:rFonts w:hint="eastAsia"/>
          <w:color w:val="auto"/>
          <w:sz w:val="28"/>
          <w:szCs w:val="28"/>
          <w:lang w:eastAsia="zh-CN"/>
        </w:rPr>
        <w:t>m</w:t>
      </w:r>
      <w:r>
        <w:rPr>
          <w:rFonts w:hint="eastAsia"/>
          <w:color w:val="auto"/>
          <w:sz w:val="28"/>
          <w:szCs w:val="28"/>
        </w:rPr>
        <w:t>布设位移沉降观测点，用以观测位移沉降情况。</w:t>
      </w:r>
      <w:r>
        <w:rPr>
          <w:rFonts w:hint="eastAsia"/>
          <w:color w:val="auto"/>
          <w:sz w:val="28"/>
          <w:szCs w:val="28"/>
          <w:lang w:val="en-US" w:eastAsia="zh-CN"/>
        </w:rPr>
        <w:t>在</w:t>
      </w:r>
      <w:r>
        <w:rPr>
          <w:rFonts w:hint="eastAsia"/>
          <w:color w:val="auto"/>
          <w:sz w:val="28"/>
          <w:szCs w:val="28"/>
        </w:rPr>
        <w:t>附近山坡</w:t>
      </w:r>
      <w:r>
        <w:rPr>
          <w:rFonts w:hint="eastAsia"/>
          <w:color w:val="auto"/>
          <w:sz w:val="28"/>
          <w:szCs w:val="28"/>
          <w:lang w:val="en-US" w:eastAsia="zh-CN"/>
        </w:rPr>
        <w:t>设计</w:t>
      </w:r>
      <w:r>
        <w:rPr>
          <w:rFonts w:hint="eastAsia"/>
          <w:color w:val="auto"/>
          <w:sz w:val="28"/>
          <w:szCs w:val="28"/>
        </w:rPr>
        <w:t>不少于3个水准基点，并连结成观测网。尾矿库闭库完工后连续观测3～5次（每月1次）。当坝体水平、垂直变形量已基本稳定后（变化有规律）每季或半年一次。当遇有地震、暴雨或久雨，渗透情况严重时，变形量显著增大时应增加测次。</w:t>
      </w:r>
    </w:p>
    <w:p w14:paraId="36F8029E">
      <w:pPr>
        <w:ind w:firstLine="560"/>
        <w:rPr>
          <w:b/>
          <w:bCs/>
          <w:color w:val="auto"/>
        </w:rPr>
      </w:pPr>
      <w:r>
        <w:rPr>
          <w:rFonts w:hint="eastAsia"/>
          <w:b/>
          <w:bCs/>
          <w:color w:val="auto"/>
          <w:lang w:val="en-US" w:eastAsia="zh-CN"/>
        </w:rPr>
        <w:t>2、</w:t>
      </w:r>
      <w:r>
        <w:rPr>
          <w:rFonts w:hint="eastAsia"/>
          <w:b/>
          <w:bCs/>
          <w:color w:val="auto"/>
          <w:sz w:val="28"/>
          <w:szCs w:val="28"/>
          <w:lang w:val="en-US" w:eastAsia="zh-CN"/>
        </w:rPr>
        <w:t>闭库工程建设情况</w:t>
      </w:r>
    </w:p>
    <w:p w14:paraId="0FA54127">
      <w:pPr>
        <w:ind w:firstLine="560"/>
        <w:rPr>
          <w:rFonts w:hint="eastAsia" w:eastAsiaTheme="minorEastAsia"/>
          <w:color w:val="auto"/>
          <w:sz w:val="28"/>
          <w:szCs w:val="28"/>
          <w:lang w:val="en-US" w:eastAsia="zh-CN"/>
        </w:rPr>
      </w:pPr>
      <w:r>
        <w:rPr>
          <w:rFonts w:hint="eastAsia"/>
          <w:b w:val="0"/>
          <w:bCs w:val="0"/>
          <w:color w:val="auto"/>
          <w:lang w:val="en-US" w:eastAsia="zh-CN"/>
        </w:rPr>
        <w:t>根据现场勘查已</w:t>
      </w:r>
      <w:r>
        <w:rPr>
          <w:rFonts w:hint="eastAsia" w:eastAsiaTheme="minorEastAsia"/>
          <w:color w:val="auto"/>
          <w:sz w:val="28"/>
          <w:szCs w:val="28"/>
        </w:rPr>
        <w:t>在标高1890.0</w:t>
      </w:r>
      <w:r>
        <w:rPr>
          <w:rFonts w:hint="eastAsia" w:eastAsiaTheme="minorEastAsia"/>
          <w:color w:val="auto"/>
          <w:sz w:val="28"/>
          <w:szCs w:val="28"/>
          <w:lang w:eastAsia="zh-CN"/>
        </w:rPr>
        <w:t>m</w:t>
      </w:r>
      <w:r>
        <w:rPr>
          <w:rFonts w:hint="eastAsia" w:eastAsiaTheme="minorEastAsia"/>
          <w:color w:val="auto"/>
          <w:sz w:val="28"/>
          <w:szCs w:val="28"/>
        </w:rPr>
        <w:t>、1900.5</w:t>
      </w:r>
      <w:r>
        <w:rPr>
          <w:rFonts w:hint="eastAsia" w:eastAsiaTheme="minorEastAsia"/>
          <w:color w:val="auto"/>
          <w:sz w:val="28"/>
          <w:szCs w:val="28"/>
          <w:lang w:eastAsia="zh-CN"/>
        </w:rPr>
        <w:t>m</w:t>
      </w:r>
      <w:r>
        <w:rPr>
          <w:rFonts w:hint="eastAsia" w:eastAsiaTheme="minorEastAsia"/>
          <w:color w:val="auto"/>
          <w:sz w:val="28"/>
          <w:szCs w:val="28"/>
        </w:rPr>
        <w:t>、1907.5</w:t>
      </w:r>
      <w:r>
        <w:rPr>
          <w:rFonts w:hint="eastAsia" w:eastAsiaTheme="minorEastAsia"/>
          <w:color w:val="auto"/>
          <w:sz w:val="28"/>
          <w:szCs w:val="28"/>
          <w:lang w:eastAsia="zh-CN"/>
        </w:rPr>
        <w:t>m</w:t>
      </w:r>
      <w:r>
        <w:rPr>
          <w:rFonts w:hint="eastAsia" w:eastAsiaTheme="minorEastAsia"/>
          <w:color w:val="auto"/>
          <w:sz w:val="28"/>
          <w:szCs w:val="28"/>
          <w:lang w:val="en-US" w:eastAsia="zh-CN"/>
        </w:rPr>
        <w:t>分别</w:t>
      </w:r>
      <w:r>
        <w:rPr>
          <w:rFonts w:hint="eastAsia" w:eastAsiaTheme="minorEastAsia"/>
          <w:color w:val="auto"/>
          <w:sz w:val="28"/>
          <w:szCs w:val="28"/>
        </w:rPr>
        <w:t>布设</w:t>
      </w:r>
      <w:r>
        <w:rPr>
          <w:rFonts w:hint="eastAsia" w:eastAsiaTheme="minorEastAsia"/>
          <w:color w:val="auto"/>
          <w:sz w:val="28"/>
          <w:szCs w:val="28"/>
          <w:lang w:val="en-US" w:eastAsia="zh-CN"/>
        </w:rPr>
        <w:t>了3个</w:t>
      </w:r>
      <w:r>
        <w:rPr>
          <w:rFonts w:hint="eastAsia" w:eastAsiaTheme="minorEastAsia"/>
          <w:color w:val="auto"/>
          <w:sz w:val="28"/>
          <w:szCs w:val="28"/>
        </w:rPr>
        <w:t>位移沉降观测点</w:t>
      </w:r>
      <w:r>
        <w:rPr>
          <w:rFonts w:hint="eastAsia" w:eastAsiaTheme="minorEastAsia"/>
          <w:color w:val="auto"/>
          <w:sz w:val="28"/>
          <w:szCs w:val="28"/>
          <w:lang w:eastAsia="zh-CN"/>
        </w:rPr>
        <w:t>，</w:t>
      </w:r>
      <w:r>
        <w:rPr>
          <w:rFonts w:hint="eastAsia" w:eastAsiaTheme="minorEastAsia"/>
          <w:color w:val="auto"/>
          <w:sz w:val="28"/>
          <w:szCs w:val="28"/>
          <w:lang w:val="en-US" w:eastAsia="zh-CN"/>
        </w:rPr>
        <w:t>共计9个，位移沉降观测点结构均采用C15素砼，断面尺寸为0.4m*0.4m，基础深度2.05m，其中0.05m出露，沉降位移桩中心点预埋带刻度镀锌钢板。</w:t>
      </w:r>
    </w:p>
    <w:p w14:paraId="6487662F">
      <w:pPr>
        <w:ind w:firstLine="560"/>
        <w:rPr>
          <w:rFonts w:hint="eastAsia" w:eastAsiaTheme="minorEastAsia"/>
          <w:color w:val="auto"/>
          <w:sz w:val="28"/>
          <w:szCs w:val="28"/>
          <w:lang w:val="en-US" w:eastAsia="zh-CN"/>
        </w:rPr>
      </w:pPr>
      <w:r>
        <w:rPr>
          <w:rFonts w:hint="eastAsia"/>
          <w:b w:val="0"/>
          <w:bCs w:val="0"/>
          <w:color w:val="auto"/>
          <w:lang w:val="en-US" w:eastAsia="zh-CN"/>
        </w:rPr>
        <w:t>根据现场勘查已</w:t>
      </w:r>
      <w:r>
        <w:rPr>
          <w:rFonts w:hint="eastAsia" w:eastAsiaTheme="minorEastAsia"/>
          <w:color w:val="auto"/>
          <w:sz w:val="28"/>
          <w:szCs w:val="28"/>
        </w:rPr>
        <w:t>在</w:t>
      </w:r>
      <w:r>
        <w:rPr>
          <w:rFonts w:hint="eastAsia" w:eastAsiaTheme="minorEastAsia"/>
          <w:color w:val="auto"/>
          <w:sz w:val="28"/>
          <w:szCs w:val="28"/>
          <w:lang w:val="en-US" w:eastAsia="zh-CN"/>
        </w:rPr>
        <w:t>坝体两侧山坡分别</w:t>
      </w:r>
      <w:r>
        <w:rPr>
          <w:rFonts w:hint="eastAsia" w:eastAsiaTheme="minorEastAsia"/>
          <w:color w:val="auto"/>
          <w:sz w:val="28"/>
          <w:szCs w:val="28"/>
        </w:rPr>
        <w:t>布设</w:t>
      </w:r>
      <w:r>
        <w:rPr>
          <w:rFonts w:hint="eastAsia" w:eastAsiaTheme="minorEastAsia"/>
          <w:color w:val="auto"/>
          <w:sz w:val="28"/>
          <w:szCs w:val="28"/>
          <w:lang w:val="en-US" w:eastAsia="zh-CN"/>
        </w:rPr>
        <w:t>了3个</w:t>
      </w:r>
      <w:r>
        <w:rPr>
          <w:rFonts w:hint="eastAsia" w:eastAsiaTheme="minorEastAsia"/>
          <w:color w:val="auto"/>
          <w:sz w:val="28"/>
          <w:szCs w:val="28"/>
        </w:rPr>
        <w:t>位移沉降</w:t>
      </w:r>
      <w:r>
        <w:rPr>
          <w:rFonts w:hint="eastAsia" w:eastAsiaTheme="minorEastAsia"/>
          <w:color w:val="auto"/>
          <w:sz w:val="28"/>
          <w:szCs w:val="28"/>
          <w:lang w:val="en-US" w:eastAsia="zh-CN"/>
        </w:rPr>
        <w:t>基准</w:t>
      </w:r>
      <w:r>
        <w:rPr>
          <w:rFonts w:hint="eastAsia" w:eastAsiaTheme="minorEastAsia"/>
          <w:color w:val="auto"/>
          <w:sz w:val="28"/>
          <w:szCs w:val="28"/>
        </w:rPr>
        <w:t>点</w:t>
      </w:r>
      <w:r>
        <w:rPr>
          <w:rFonts w:hint="eastAsia" w:eastAsiaTheme="minorEastAsia"/>
          <w:color w:val="auto"/>
          <w:sz w:val="28"/>
          <w:szCs w:val="28"/>
          <w:lang w:eastAsia="zh-CN"/>
        </w:rPr>
        <w:t>，</w:t>
      </w:r>
      <w:r>
        <w:rPr>
          <w:rFonts w:hint="eastAsia" w:eastAsiaTheme="minorEastAsia"/>
          <w:color w:val="auto"/>
          <w:sz w:val="28"/>
          <w:szCs w:val="28"/>
          <w:lang w:val="en-US" w:eastAsia="zh-CN"/>
        </w:rPr>
        <w:t>共计6个，位移沉降基准点结构均采用C15素砼，基座断面尺寸为0.8m*0.8m，埋深0.3m，沉降位移基准桩下底断面尺寸0.5m*0.5m，高度1.3m，顶部断面尺寸0.3m*0.3m，沉降位移基准桩中心点预埋长度1.5m，直径0.08m的黄铜棒。</w:t>
      </w:r>
    </w:p>
    <w:p w14:paraId="55F07F24">
      <w:pPr>
        <w:ind w:firstLine="560"/>
        <w:rPr>
          <w:rFonts w:hint="default" w:eastAsiaTheme="minorEastAsia"/>
          <w:color w:val="auto"/>
          <w:sz w:val="28"/>
          <w:szCs w:val="28"/>
          <w:lang w:val="en-US" w:eastAsia="zh-CN"/>
        </w:rPr>
      </w:pPr>
      <w:r>
        <w:rPr>
          <w:rFonts w:hint="eastAsia" w:eastAsiaTheme="minorEastAsia"/>
          <w:color w:val="auto"/>
          <w:sz w:val="28"/>
          <w:szCs w:val="28"/>
          <w:lang w:val="en-US" w:eastAsia="zh-CN"/>
        </w:rPr>
        <w:t>根据现场勘察已在尾矿库上下游分别设置了1个地下水监测井，下游监测井深度20m，内孔径0.11m，外埋直径0.5m的预制管保护，出露地面0.2m，上游监测井深度20m，内孔径0.1m，外埋直径0.5m的预制管保护，出露地面0.6m。</w:t>
      </w:r>
    </w:p>
    <w:p w14:paraId="7E4FEA45">
      <w:pPr>
        <w:ind w:firstLine="560"/>
        <w:rPr>
          <w:rFonts w:hint="default" w:eastAsia="宋体"/>
          <w:color w:val="auto"/>
          <w:sz w:val="28"/>
          <w:szCs w:val="28"/>
          <w:highlight w:val="none"/>
          <w:lang w:val="en-US" w:eastAsia="zh-CN"/>
        </w:rPr>
      </w:pPr>
      <w:r>
        <w:rPr>
          <w:rFonts w:hint="eastAsia" w:eastAsiaTheme="minorEastAsia"/>
          <w:color w:val="auto"/>
          <w:sz w:val="28"/>
          <w:szCs w:val="28"/>
          <w:highlight w:val="none"/>
          <w:lang w:val="en-US" w:eastAsia="zh-CN"/>
        </w:rPr>
        <w:t>查阅资料，施工单位完工后每月对</w:t>
      </w:r>
      <w:r>
        <w:rPr>
          <w:rFonts w:hint="eastAsia"/>
          <w:color w:val="auto"/>
          <w:sz w:val="28"/>
          <w:szCs w:val="28"/>
          <w:highlight w:val="none"/>
        </w:rPr>
        <w:t>坝体水平、垂直变形量</w:t>
      </w:r>
      <w:r>
        <w:rPr>
          <w:rFonts w:hint="eastAsia"/>
          <w:color w:val="auto"/>
          <w:sz w:val="28"/>
          <w:szCs w:val="28"/>
          <w:highlight w:val="none"/>
          <w:lang w:val="en-US" w:eastAsia="zh-CN"/>
        </w:rPr>
        <w:t>进行监测并记录，记录未见明显变形及位移。</w:t>
      </w:r>
    </w:p>
    <w:tbl>
      <w:tblPr>
        <w:tblStyle w:val="5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97"/>
        <w:gridCol w:w="79"/>
        <w:gridCol w:w="4577"/>
      </w:tblGrid>
      <w:tr w14:paraId="00DEA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7" w:type="dxa"/>
            <w:shd w:val="clear" w:color="auto" w:fill="auto"/>
            <w:vAlign w:val="center"/>
          </w:tcPr>
          <w:p w14:paraId="4039309F">
            <w:pPr>
              <w:spacing w:line="240" w:lineRule="auto"/>
              <w:ind w:left="0" w:leftChars="0" w:firstLine="0" w:firstLineChars="0"/>
              <w:jc w:val="center"/>
              <w:rPr>
                <w:rFonts w:hint="eastAsia" w:eastAsiaTheme="minorEastAsia"/>
                <w:color w:val="auto"/>
                <w:sz w:val="28"/>
                <w:szCs w:val="28"/>
                <w:highlight w:val="none"/>
                <w:vertAlign w:val="baseline"/>
                <w:lang w:val="en-US" w:eastAsia="zh-CN"/>
              </w:rPr>
            </w:pPr>
            <w:r>
              <w:rPr>
                <w:rFonts w:hint="eastAsia" w:eastAsiaTheme="minorEastAsia"/>
                <w:color w:val="auto"/>
                <w:sz w:val="28"/>
                <w:szCs w:val="28"/>
                <w:highlight w:val="none"/>
                <w:vertAlign w:val="baseline"/>
                <w:lang w:val="en-US" w:eastAsia="zh-CN"/>
              </w:rPr>
              <w:drawing>
                <wp:inline distT="0" distB="0" distL="114300" distR="114300">
                  <wp:extent cx="2708275" cy="2030730"/>
                  <wp:effectExtent l="0" t="0" r="9525" b="1270"/>
                  <wp:docPr id="56" name="图片 56" descr="2b71085e0d0b2e4deff7444ace63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2b71085e0d0b2e4deff7444ace63718"/>
                          <pic:cNvPicPr>
                            <a:picLocks noChangeAspect="1"/>
                          </pic:cNvPicPr>
                        </pic:nvPicPr>
                        <pic:blipFill>
                          <a:blip r:embed="rId45"/>
                          <a:stretch>
                            <a:fillRect/>
                          </a:stretch>
                        </pic:blipFill>
                        <pic:spPr>
                          <a:xfrm>
                            <a:off x="0" y="0"/>
                            <a:ext cx="2708275" cy="2030730"/>
                          </a:xfrm>
                          <a:prstGeom prst="rect">
                            <a:avLst/>
                          </a:prstGeom>
                        </pic:spPr>
                      </pic:pic>
                    </a:graphicData>
                  </a:graphic>
                </wp:inline>
              </w:drawing>
            </w:r>
          </w:p>
        </w:tc>
        <w:tc>
          <w:tcPr>
            <w:tcW w:w="4656" w:type="dxa"/>
            <w:gridSpan w:val="2"/>
            <w:shd w:val="clear" w:color="auto" w:fill="auto"/>
            <w:vAlign w:val="center"/>
          </w:tcPr>
          <w:p w14:paraId="499D5DEB">
            <w:pPr>
              <w:spacing w:line="240" w:lineRule="auto"/>
              <w:ind w:left="0" w:leftChars="0" w:firstLine="0" w:firstLineChars="0"/>
              <w:jc w:val="center"/>
              <w:rPr>
                <w:rFonts w:hint="eastAsia" w:eastAsiaTheme="minorEastAsia"/>
                <w:color w:val="auto"/>
                <w:sz w:val="28"/>
                <w:szCs w:val="28"/>
                <w:highlight w:val="none"/>
                <w:vertAlign w:val="baseline"/>
                <w:lang w:val="en-US" w:eastAsia="zh-CN"/>
              </w:rPr>
            </w:pPr>
            <w:r>
              <w:rPr>
                <w:rFonts w:hint="eastAsia" w:eastAsiaTheme="minorEastAsia"/>
                <w:color w:val="auto"/>
                <w:sz w:val="28"/>
                <w:szCs w:val="28"/>
                <w:highlight w:val="none"/>
                <w:vertAlign w:val="baseline"/>
                <w:lang w:val="en-US" w:eastAsia="zh-CN"/>
              </w:rPr>
              <w:drawing>
                <wp:inline distT="0" distB="0" distL="114300" distR="114300">
                  <wp:extent cx="2816860" cy="2111375"/>
                  <wp:effectExtent l="0" t="0" r="2540" b="9525"/>
                  <wp:docPr id="57" name="图片 57" descr="0be3d1817b05cbe6f7bceed679ab7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0be3d1817b05cbe6f7bceed679ab7d6"/>
                          <pic:cNvPicPr>
                            <a:picLocks noChangeAspect="1"/>
                          </pic:cNvPicPr>
                        </pic:nvPicPr>
                        <pic:blipFill>
                          <a:blip r:embed="rId46"/>
                          <a:stretch>
                            <a:fillRect/>
                          </a:stretch>
                        </pic:blipFill>
                        <pic:spPr>
                          <a:xfrm>
                            <a:off x="0" y="0"/>
                            <a:ext cx="2816860" cy="2111375"/>
                          </a:xfrm>
                          <a:prstGeom prst="rect">
                            <a:avLst/>
                          </a:prstGeom>
                        </pic:spPr>
                      </pic:pic>
                    </a:graphicData>
                  </a:graphic>
                </wp:inline>
              </w:drawing>
            </w:r>
          </w:p>
        </w:tc>
      </w:tr>
      <w:tr w14:paraId="61240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4497" w:type="dxa"/>
            <w:shd w:val="clear" w:color="auto" w:fill="auto"/>
            <w:vAlign w:val="center"/>
          </w:tcPr>
          <w:p w14:paraId="19001960">
            <w:pPr>
              <w:spacing w:line="240" w:lineRule="auto"/>
              <w:jc w:val="center"/>
              <w:rPr>
                <w:rFonts w:hint="eastAsia" w:eastAsiaTheme="minorEastAsia"/>
                <w:color w:val="auto"/>
                <w:sz w:val="24"/>
                <w:szCs w:val="24"/>
                <w:highlight w:val="none"/>
                <w:vertAlign w:val="baseline"/>
                <w:lang w:val="en-US" w:eastAsia="zh-CN"/>
              </w:rPr>
            </w:pPr>
            <w:r>
              <w:rPr>
                <w:rFonts w:hint="eastAsia" w:eastAsiaTheme="minorEastAsia"/>
                <w:color w:val="auto"/>
                <w:sz w:val="24"/>
                <w:szCs w:val="24"/>
                <w:highlight w:val="none"/>
                <w:vertAlign w:val="baseline"/>
                <w:lang w:val="en-US" w:eastAsia="zh-CN"/>
              </w:rPr>
              <w:t>位移沉降基准点</w:t>
            </w:r>
          </w:p>
        </w:tc>
        <w:tc>
          <w:tcPr>
            <w:tcW w:w="4656" w:type="dxa"/>
            <w:gridSpan w:val="2"/>
            <w:shd w:val="clear" w:color="auto" w:fill="auto"/>
            <w:vAlign w:val="center"/>
          </w:tcPr>
          <w:p w14:paraId="081979CB">
            <w:pPr>
              <w:spacing w:line="240" w:lineRule="auto"/>
              <w:ind w:left="0" w:leftChars="0" w:firstLine="0" w:firstLineChars="0"/>
              <w:jc w:val="center"/>
              <w:rPr>
                <w:rFonts w:hint="eastAsia" w:eastAsiaTheme="minorEastAsia"/>
                <w:color w:val="auto"/>
                <w:sz w:val="24"/>
                <w:szCs w:val="24"/>
                <w:highlight w:val="none"/>
                <w:vertAlign w:val="baseline"/>
                <w:lang w:val="en-US" w:eastAsia="zh-CN"/>
              </w:rPr>
            </w:pPr>
            <w:r>
              <w:rPr>
                <w:rFonts w:hint="eastAsia" w:eastAsiaTheme="minorEastAsia"/>
                <w:color w:val="auto"/>
                <w:sz w:val="24"/>
                <w:szCs w:val="24"/>
                <w:highlight w:val="none"/>
                <w:lang w:val="en-US" w:eastAsia="zh-CN"/>
              </w:rPr>
              <w:t>位</w:t>
            </w:r>
            <w:r>
              <w:rPr>
                <w:rFonts w:hint="eastAsia" w:eastAsiaTheme="minorEastAsia"/>
                <w:color w:val="auto"/>
                <w:sz w:val="24"/>
                <w:szCs w:val="24"/>
                <w:highlight w:val="none"/>
              </w:rPr>
              <w:t>移</w:t>
            </w:r>
            <w:r>
              <w:rPr>
                <w:rFonts w:hint="eastAsia" w:eastAsiaTheme="minorEastAsia"/>
                <w:color w:val="auto"/>
                <w:sz w:val="24"/>
                <w:szCs w:val="24"/>
                <w:highlight w:val="none"/>
                <w:lang w:val="en-US" w:eastAsia="zh-CN"/>
              </w:rPr>
              <w:t>沉降</w:t>
            </w:r>
            <w:r>
              <w:rPr>
                <w:rFonts w:hint="eastAsia" w:eastAsiaTheme="minorEastAsia"/>
                <w:color w:val="auto"/>
                <w:sz w:val="24"/>
                <w:szCs w:val="24"/>
                <w:highlight w:val="none"/>
              </w:rPr>
              <w:t>监测点</w:t>
            </w:r>
          </w:p>
        </w:tc>
      </w:tr>
      <w:tr w14:paraId="025FA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4497" w:type="dxa"/>
            <w:shd w:val="clear" w:color="auto" w:fill="auto"/>
            <w:vAlign w:val="center"/>
          </w:tcPr>
          <w:p w14:paraId="18E317D3">
            <w:pPr>
              <w:spacing w:line="240" w:lineRule="auto"/>
              <w:ind w:left="0" w:leftChars="0" w:firstLine="0" w:firstLineChars="0"/>
              <w:jc w:val="center"/>
              <w:rPr>
                <w:rFonts w:hint="eastAsia" w:eastAsiaTheme="minorEastAsia"/>
                <w:color w:val="auto"/>
                <w:sz w:val="28"/>
                <w:szCs w:val="28"/>
                <w:highlight w:val="none"/>
                <w:lang w:eastAsia="zh-CN"/>
              </w:rPr>
            </w:pPr>
            <w:r>
              <w:rPr>
                <w:rFonts w:hint="eastAsia" w:eastAsiaTheme="minorEastAsia"/>
                <w:color w:val="auto"/>
                <w:sz w:val="28"/>
                <w:szCs w:val="28"/>
                <w:highlight w:val="none"/>
                <w:lang w:eastAsia="zh-CN"/>
              </w:rPr>
              <w:drawing>
                <wp:inline distT="0" distB="0" distL="114300" distR="114300">
                  <wp:extent cx="2708275" cy="2030730"/>
                  <wp:effectExtent l="0" t="0" r="9525" b="1270"/>
                  <wp:docPr id="59" name="图片 59" descr="7bd6ce57bdd67ceedcb06cff978c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7bd6ce57bdd67ceedcb06cff978c089"/>
                          <pic:cNvPicPr>
                            <a:picLocks noChangeAspect="1"/>
                          </pic:cNvPicPr>
                        </pic:nvPicPr>
                        <pic:blipFill>
                          <a:blip r:embed="rId47"/>
                          <a:stretch>
                            <a:fillRect/>
                          </a:stretch>
                        </pic:blipFill>
                        <pic:spPr>
                          <a:xfrm>
                            <a:off x="0" y="0"/>
                            <a:ext cx="2708275" cy="2030730"/>
                          </a:xfrm>
                          <a:prstGeom prst="rect">
                            <a:avLst/>
                          </a:prstGeom>
                        </pic:spPr>
                      </pic:pic>
                    </a:graphicData>
                  </a:graphic>
                </wp:inline>
              </w:drawing>
            </w:r>
          </w:p>
        </w:tc>
        <w:tc>
          <w:tcPr>
            <w:tcW w:w="4656" w:type="dxa"/>
            <w:gridSpan w:val="2"/>
            <w:shd w:val="clear" w:color="auto" w:fill="auto"/>
            <w:vAlign w:val="center"/>
          </w:tcPr>
          <w:p w14:paraId="03EE12EC">
            <w:pPr>
              <w:spacing w:line="240" w:lineRule="auto"/>
              <w:ind w:left="0" w:leftChars="0" w:firstLine="0" w:firstLineChars="0"/>
              <w:jc w:val="center"/>
              <w:rPr>
                <w:rFonts w:hint="eastAsia" w:eastAsiaTheme="minorEastAsia"/>
                <w:color w:val="auto"/>
                <w:sz w:val="24"/>
                <w:szCs w:val="24"/>
                <w:highlight w:val="none"/>
                <w:lang w:val="en-US" w:eastAsia="zh-CN"/>
              </w:rPr>
            </w:pPr>
            <w:r>
              <w:rPr>
                <w:rFonts w:hint="eastAsia" w:eastAsiaTheme="minorEastAsia"/>
                <w:color w:val="auto"/>
                <w:sz w:val="24"/>
                <w:szCs w:val="24"/>
                <w:highlight w:val="none"/>
                <w:lang w:val="en-US" w:eastAsia="zh-CN"/>
              </w:rPr>
              <w:drawing>
                <wp:inline distT="0" distB="0" distL="114300" distR="114300">
                  <wp:extent cx="2816860" cy="2111375"/>
                  <wp:effectExtent l="0" t="0" r="2540" b="9525"/>
                  <wp:docPr id="61" name="图片 61" descr="349e6ec174fd17da6319edb2b25fe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349e6ec174fd17da6319edb2b25feb1"/>
                          <pic:cNvPicPr>
                            <a:picLocks noChangeAspect="1"/>
                          </pic:cNvPicPr>
                        </pic:nvPicPr>
                        <pic:blipFill>
                          <a:blip r:embed="rId48"/>
                          <a:stretch>
                            <a:fillRect/>
                          </a:stretch>
                        </pic:blipFill>
                        <pic:spPr>
                          <a:xfrm>
                            <a:off x="0" y="0"/>
                            <a:ext cx="2816860" cy="2111375"/>
                          </a:xfrm>
                          <a:prstGeom prst="rect">
                            <a:avLst/>
                          </a:prstGeom>
                        </pic:spPr>
                      </pic:pic>
                    </a:graphicData>
                  </a:graphic>
                </wp:inline>
              </w:drawing>
            </w:r>
          </w:p>
        </w:tc>
      </w:tr>
      <w:tr w14:paraId="0A24E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4576" w:type="dxa"/>
            <w:gridSpan w:val="2"/>
            <w:shd w:val="clear" w:color="auto" w:fill="auto"/>
            <w:vAlign w:val="center"/>
          </w:tcPr>
          <w:p w14:paraId="65A2352C">
            <w:pPr>
              <w:spacing w:line="240" w:lineRule="auto"/>
              <w:ind w:left="0" w:leftChars="0" w:firstLine="0" w:firstLineChars="0"/>
              <w:jc w:val="center"/>
              <w:rPr>
                <w:rFonts w:hint="default" w:eastAsiaTheme="minorEastAsia"/>
                <w:color w:val="auto"/>
                <w:sz w:val="24"/>
                <w:szCs w:val="24"/>
                <w:highlight w:val="none"/>
                <w:lang w:val="en-US" w:eastAsia="zh-CN"/>
              </w:rPr>
            </w:pPr>
            <w:r>
              <w:rPr>
                <w:rFonts w:hint="eastAsia" w:eastAsiaTheme="minorEastAsia"/>
                <w:color w:val="auto"/>
                <w:sz w:val="24"/>
                <w:szCs w:val="24"/>
                <w:highlight w:val="none"/>
                <w:lang w:val="en-US" w:eastAsia="zh-CN"/>
              </w:rPr>
              <w:t>上游地下水监测井</w:t>
            </w:r>
          </w:p>
        </w:tc>
        <w:tc>
          <w:tcPr>
            <w:tcW w:w="4577" w:type="dxa"/>
            <w:shd w:val="clear" w:color="auto" w:fill="auto"/>
            <w:vAlign w:val="center"/>
          </w:tcPr>
          <w:p w14:paraId="5C8E2D3D">
            <w:pPr>
              <w:spacing w:line="240" w:lineRule="auto"/>
              <w:ind w:left="0" w:leftChars="0" w:firstLine="0" w:firstLineChars="0"/>
              <w:jc w:val="center"/>
              <w:rPr>
                <w:rFonts w:hint="default" w:eastAsiaTheme="minorEastAsia"/>
                <w:color w:val="auto"/>
                <w:sz w:val="24"/>
                <w:szCs w:val="24"/>
                <w:highlight w:val="none"/>
                <w:lang w:val="en-US" w:eastAsia="zh-CN"/>
              </w:rPr>
            </w:pPr>
            <w:r>
              <w:rPr>
                <w:rFonts w:hint="eastAsia" w:eastAsiaTheme="minorEastAsia"/>
                <w:color w:val="auto"/>
                <w:sz w:val="24"/>
                <w:szCs w:val="24"/>
                <w:highlight w:val="none"/>
                <w:lang w:val="en-US" w:eastAsia="zh-CN"/>
              </w:rPr>
              <w:t>下游地下水监测井</w:t>
            </w:r>
          </w:p>
        </w:tc>
      </w:tr>
      <w:tr w14:paraId="6D49E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4576" w:type="dxa"/>
            <w:gridSpan w:val="2"/>
            <w:vAlign w:val="center"/>
          </w:tcPr>
          <w:p w14:paraId="762CACE5">
            <w:pPr>
              <w:spacing w:line="240" w:lineRule="auto"/>
              <w:ind w:left="0" w:leftChars="0" w:firstLine="0" w:firstLineChars="0"/>
              <w:jc w:val="center"/>
              <w:rPr>
                <w:rFonts w:hint="eastAsia" w:eastAsiaTheme="minorEastAsia"/>
                <w:color w:val="auto"/>
                <w:sz w:val="24"/>
                <w:szCs w:val="24"/>
                <w:highlight w:val="green"/>
                <w:lang w:val="en-US" w:eastAsia="zh-CN"/>
              </w:rPr>
            </w:pPr>
            <w:r>
              <w:rPr>
                <w:rFonts w:hint="eastAsia" w:eastAsiaTheme="minorEastAsia"/>
                <w:color w:val="auto"/>
                <w:sz w:val="24"/>
                <w:szCs w:val="24"/>
                <w:highlight w:val="green"/>
                <w:lang w:val="en-US" w:eastAsia="zh-CN"/>
              </w:rPr>
              <w:drawing>
                <wp:inline distT="0" distB="0" distL="114300" distR="114300">
                  <wp:extent cx="2761615" cy="3683000"/>
                  <wp:effectExtent l="0" t="0" r="6985" b="0"/>
                  <wp:docPr id="9" name="图片 9" descr="68fc0903aa45c760187a756a77451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68fc0903aa45c760187a756a77451a8"/>
                          <pic:cNvPicPr>
                            <a:picLocks noChangeAspect="1"/>
                          </pic:cNvPicPr>
                        </pic:nvPicPr>
                        <pic:blipFill>
                          <a:blip r:embed="rId49"/>
                          <a:stretch>
                            <a:fillRect/>
                          </a:stretch>
                        </pic:blipFill>
                        <pic:spPr>
                          <a:xfrm>
                            <a:off x="0" y="0"/>
                            <a:ext cx="2761615" cy="3683000"/>
                          </a:xfrm>
                          <a:prstGeom prst="rect">
                            <a:avLst/>
                          </a:prstGeom>
                        </pic:spPr>
                      </pic:pic>
                    </a:graphicData>
                  </a:graphic>
                </wp:inline>
              </w:drawing>
            </w:r>
          </w:p>
          <w:p w14:paraId="12928A16"/>
        </w:tc>
        <w:tc>
          <w:tcPr>
            <w:tcW w:w="4577" w:type="dxa"/>
            <w:vAlign w:val="center"/>
          </w:tcPr>
          <w:p w14:paraId="6FEFE612">
            <w:pPr>
              <w:spacing w:line="240" w:lineRule="auto"/>
              <w:ind w:left="0" w:leftChars="0" w:firstLine="0" w:firstLineChars="0"/>
              <w:jc w:val="center"/>
              <w:rPr>
                <w:rFonts w:hint="eastAsia" w:eastAsiaTheme="minorEastAsia"/>
                <w:color w:val="auto"/>
                <w:sz w:val="24"/>
                <w:szCs w:val="24"/>
                <w:highlight w:val="green"/>
                <w:lang w:val="en-US" w:eastAsia="zh-CN"/>
              </w:rPr>
            </w:pPr>
            <w:r>
              <w:rPr>
                <w:rFonts w:hint="eastAsia" w:eastAsiaTheme="minorEastAsia"/>
                <w:color w:val="auto"/>
                <w:sz w:val="24"/>
                <w:szCs w:val="24"/>
                <w:highlight w:val="green"/>
                <w:lang w:val="en-US" w:eastAsia="zh-CN"/>
              </w:rPr>
              <w:drawing>
                <wp:inline distT="0" distB="0" distL="114300" distR="114300">
                  <wp:extent cx="2761615" cy="3683000"/>
                  <wp:effectExtent l="0" t="0" r="6985" b="0"/>
                  <wp:docPr id="10" name="图片 10" descr="756a5c50cf02a2ad89f6ef04d309a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756a5c50cf02a2ad89f6ef04d309a77"/>
                          <pic:cNvPicPr>
                            <a:picLocks noChangeAspect="1"/>
                          </pic:cNvPicPr>
                        </pic:nvPicPr>
                        <pic:blipFill>
                          <a:blip r:embed="rId50"/>
                          <a:stretch>
                            <a:fillRect/>
                          </a:stretch>
                        </pic:blipFill>
                        <pic:spPr>
                          <a:xfrm>
                            <a:off x="0" y="0"/>
                            <a:ext cx="2761615" cy="3683000"/>
                          </a:xfrm>
                          <a:prstGeom prst="rect">
                            <a:avLst/>
                          </a:prstGeom>
                        </pic:spPr>
                      </pic:pic>
                    </a:graphicData>
                  </a:graphic>
                </wp:inline>
              </w:drawing>
            </w:r>
          </w:p>
        </w:tc>
      </w:tr>
      <w:tr w14:paraId="6089C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153" w:type="dxa"/>
            <w:gridSpan w:val="3"/>
            <w:vAlign w:val="center"/>
          </w:tcPr>
          <w:p w14:paraId="16CBCADF">
            <w:pPr>
              <w:spacing w:line="240" w:lineRule="auto"/>
              <w:ind w:left="0" w:leftChars="0" w:firstLine="0" w:firstLineChars="0"/>
              <w:jc w:val="center"/>
              <w:rPr>
                <w:rFonts w:hint="eastAsia" w:eastAsiaTheme="minorEastAsia"/>
                <w:color w:val="auto"/>
                <w:sz w:val="24"/>
                <w:szCs w:val="24"/>
                <w:highlight w:val="green"/>
                <w:lang w:val="en-US" w:eastAsia="zh-CN"/>
              </w:rPr>
            </w:pPr>
            <w:r>
              <w:rPr>
                <w:rFonts w:hint="eastAsia" w:eastAsiaTheme="minorEastAsia"/>
                <w:color w:val="auto"/>
                <w:sz w:val="24"/>
                <w:szCs w:val="24"/>
                <w:highlight w:val="none"/>
                <w:shd w:val="clear"/>
                <w:lang w:val="en-US" w:eastAsia="zh-CN"/>
              </w:rPr>
              <w:t>位移监测记录</w:t>
            </w:r>
          </w:p>
        </w:tc>
      </w:tr>
    </w:tbl>
    <w:p w14:paraId="490947D6">
      <w:pPr>
        <w:pStyle w:val="5"/>
        <w:outlineLvl w:val="2"/>
        <w:rPr>
          <w:rFonts w:hint="default"/>
          <w:color w:val="auto"/>
          <w:lang w:val="en-US" w:eastAsia="zh-CN"/>
        </w:rPr>
      </w:pPr>
      <w:bookmarkStart w:id="290" w:name="_Toc32743"/>
      <w:bookmarkStart w:id="291" w:name="_Toc28035"/>
      <w:r>
        <w:rPr>
          <w:rFonts w:hint="eastAsia"/>
          <w:color w:val="auto"/>
          <w:lang w:val="en-US" w:eastAsia="zh-CN"/>
        </w:rPr>
        <w:t>排渗设施</w:t>
      </w:r>
      <w:bookmarkEnd w:id="290"/>
      <w:bookmarkEnd w:id="291"/>
    </w:p>
    <w:p w14:paraId="2136355F">
      <w:pPr>
        <w:adjustRightInd w:val="0"/>
        <w:snapToGrid w:val="0"/>
        <w:ind w:firstLine="560"/>
        <w:rPr>
          <w:rFonts w:hint="eastAsia"/>
          <w:b/>
          <w:bCs/>
          <w:color w:val="auto"/>
          <w:lang w:val="en-US" w:eastAsia="zh-CN"/>
        </w:rPr>
      </w:pPr>
      <w:r>
        <w:rPr>
          <w:rFonts w:hint="eastAsia"/>
          <w:b/>
          <w:bCs/>
          <w:color w:val="auto"/>
          <w:lang w:val="en-US" w:eastAsia="zh-CN"/>
        </w:rPr>
        <w:t>1、闭库设计情况</w:t>
      </w:r>
    </w:p>
    <w:p w14:paraId="3CA44F95">
      <w:pPr>
        <w:adjustRightInd w:val="0"/>
        <w:snapToGrid w:val="0"/>
        <w:ind w:firstLine="560"/>
        <w:rPr>
          <w:rFonts w:hint="eastAsia"/>
          <w:color w:val="auto"/>
          <w:sz w:val="28"/>
          <w:szCs w:val="28"/>
        </w:rPr>
      </w:pPr>
      <w:r>
        <w:rPr>
          <w:rFonts w:hint="eastAsia"/>
          <w:color w:val="auto"/>
          <w:sz w:val="28"/>
          <w:szCs w:val="28"/>
        </w:rPr>
        <w:t>闭库后形成库尾向坝前1%的顺坡坡度，库内雨水及时排出库外，很难下渗。现状浸润线基本在库区中部以下区域，且闭库后库区不积存水。只需按利用现有排渗设施即可。</w:t>
      </w:r>
    </w:p>
    <w:p w14:paraId="2290A37A">
      <w:pPr>
        <w:pStyle w:val="90"/>
        <w:ind w:firstLine="562" w:firstLineChars="200"/>
        <w:rPr>
          <w:rFonts w:hint="eastAsia"/>
          <w:b/>
          <w:bCs/>
          <w:color w:val="auto"/>
          <w:sz w:val="28"/>
          <w:szCs w:val="28"/>
          <w:lang w:val="en-US" w:eastAsia="zh-CN"/>
        </w:rPr>
      </w:pPr>
      <w:r>
        <w:rPr>
          <w:rFonts w:hint="eastAsia"/>
          <w:b/>
          <w:bCs/>
          <w:color w:val="auto"/>
          <w:sz w:val="28"/>
          <w:szCs w:val="28"/>
          <w:lang w:val="en-US" w:eastAsia="zh-CN"/>
        </w:rPr>
        <w:t>2、闭库工程建设情况</w:t>
      </w:r>
    </w:p>
    <w:p w14:paraId="283933FE">
      <w:pPr>
        <w:pStyle w:val="90"/>
        <w:ind w:firstLine="560" w:firstLineChars="200"/>
        <w:rPr>
          <w:rFonts w:hint="default" w:eastAsia="宋体"/>
          <w:b w:val="0"/>
          <w:bCs w:val="0"/>
          <w:color w:val="auto"/>
          <w:lang w:val="en-US" w:eastAsia="zh-CN"/>
        </w:rPr>
      </w:pPr>
      <w:r>
        <w:rPr>
          <w:rFonts w:hint="eastAsia"/>
          <w:b w:val="0"/>
          <w:bCs w:val="0"/>
          <w:color w:val="auto"/>
          <w:sz w:val="28"/>
          <w:szCs w:val="28"/>
          <w:lang w:val="en-US" w:eastAsia="zh-CN"/>
        </w:rPr>
        <w:t>根据现场勘查及查阅施工资料，滩面形成了</w:t>
      </w:r>
      <w:r>
        <w:rPr>
          <w:rFonts w:hint="eastAsia"/>
          <w:color w:val="auto"/>
          <w:sz w:val="28"/>
          <w:szCs w:val="28"/>
        </w:rPr>
        <w:t>库尾向坝前1%的顺坡坡度，库内雨水</w:t>
      </w:r>
      <w:r>
        <w:rPr>
          <w:rFonts w:hint="eastAsia"/>
          <w:color w:val="auto"/>
          <w:sz w:val="28"/>
          <w:szCs w:val="28"/>
          <w:lang w:val="en-US" w:eastAsia="zh-CN"/>
        </w:rPr>
        <w:t>能</w:t>
      </w:r>
      <w:r>
        <w:rPr>
          <w:rFonts w:hint="eastAsia"/>
          <w:color w:val="auto"/>
          <w:sz w:val="28"/>
          <w:szCs w:val="28"/>
        </w:rPr>
        <w:t>及时排出库外，</w:t>
      </w:r>
      <w:r>
        <w:rPr>
          <w:rFonts w:hint="eastAsia"/>
          <w:color w:val="auto"/>
          <w:sz w:val="28"/>
          <w:szCs w:val="28"/>
          <w:lang w:val="en-US" w:eastAsia="zh-CN"/>
        </w:rPr>
        <w:t>现场勘察库区未有积水情况。</w:t>
      </w:r>
    </w:p>
    <w:tbl>
      <w:tblPr>
        <w:tblStyle w:val="5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6"/>
        <w:gridCol w:w="4276"/>
      </w:tblGrid>
      <w:tr w14:paraId="79145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14:paraId="20D81494">
            <w:pPr>
              <w:adjustRightInd w:val="0"/>
              <w:snapToGrid w:val="0"/>
              <w:ind w:left="0" w:leftChars="0" w:firstLine="0" w:firstLineChars="0"/>
              <w:rPr>
                <w:rFonts w:hint="default"/>
                <w:color w:val="auto"/>
                <w:vertAlign w:val="baseline"/>
                <w:lang w:val="en-US" w:eastAsia="zh-CN"/>
              </w:rPr>
            </w:pPr>
            <w:r>
              <w:rPr>
                <w:rFonts w:hint="default"/>
                <w:color w:val="auto"/>
                <w:vertAlign w:val="baseline"/>
                <w:lang w:val="en-US" w:eastAsia="zh-CN"/>
              </w:rPr>
              <w:drawing>
                <wp:inline distT="0" distB="0" distL="114300" distR="114300">
                  <wp:extent cx="2567305" cy="1924685"/>
                  <wp:effectExtent l="0" t="0" r="10795" b="5715"/>
                  <wp:docPr id="62" name="图片 62" descr="15600f4cef3c39ca45e5a70ea6f07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15600f4cef3c39ca45e5a70ea6f07a8"/>
                          <pic:cNvPicPr>
                            <a:picLocks noChangeAspect="1"/>
                          </pic:cNvPicPr>
                        </pic:nvPicPr>
                        <pic:blipFill>
                          <a:blip r:embed="rId51"/>
                          <a:stretch>
                            <a:fillRect/>
                          </a:stretch>
                        </pic:blipFill>
                        <pic:spPr>
                          <a:xfrm>
                            <a:off x="0" y="0"/>
                            <a:ext cx="2567305" cy="1924685"/>
                          </a:xfrm>
                          <a:prstGeom prst="rect">
                            <a:avLst/>
                          </a:prstGeom>
                        </pic:spPr>
                      </pic:pic>
                    </a:graphicData>
                  </a:graphic>
                </wp:inline>
              </w:drawing>
            </w:r>
          </w:p>
        </w:tc>
        <w:tc>
          <w:tcPr>
            <w:tcW w:w="4261" w:type="dxa"/>
          </w:tcPr>
          <w:p w14:paraId="5FDE73A7">
            <w:pPr>
              <w:adjustRightInd w:val="0"/>
              <w:snapToGrid w:val="0"/>
              <w:ind w:left="0" w:leftChars="0" w:firstLine="0" w:firstLineChars="0"/>
              <w:rPr>
                <w:rFonts w:hint="default"/>
                <w:color w:val="auto"/>
                <w:vertAlign w:val="baseline"/>
                <w:lang w:val="en-US" w:eastAsia="zh-CN"/>
              </w:rPr>
            </w:pPr>
            <w:r>
              <w:rPr>
                <w:rFonts w:hint="default"/>
                <w:color w:val="auto"/>
                <w:vertAlign w:val="baseline"/>
                <w:lang w:val="en-US" w:eastAsia="zh-CN"/>
              </w:rPr>
              <w:drawing>
                <wp:inline distT="0" distB="0" distL="114300" distR="114300">
                  <wp:extent cx="2567305" cy="1924685"/>
                  <wp:effectExtent l="0" t="0" r="10795" b="5715"/>
                  <wp:docPr id="63" name="图片 63" descr="d7c75f0b2227ce206f68fa491e34d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d7c75f0b2227ce206f68fa491e34dea"/>
                          <pic:cNvPicPr>
                            <a:picLocks noChangeAspect="1"/>
                          </pic:cNvPicPr>
                        </pic:nvPicPr>
                        <pic:blipFill>
                          <a:blip r:embed="rId52"/>
                          <a:stretch>
                            <a:fillRect/>
                          </a:stretch>
                        </pic:blipFill>
                        <pic:spPr>
                          <a:xfrm>
                            <a:off x="0" y="0"/>
                            <a:ext cx="2567305" cy="1924685"/>
                          </a:xfrm>
                          <a:prstGeom prst="rect">
                            <a:avLst/>
                          </a:prstGeom>
                        </pic:spPr>
                      </pic:pic>
                    </a:graphicData>
                  </a:graphic>
                </wp:inline>
              </w:drawing>
            </w:r>
          </w:p>
        </w:tc>
      </w:tr>
      <w:tr w14:paraId="6AC1D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22" w:type="dxa"/>
            <w:gridSpan w:val="2"/>
          </w:tcPr>
          <w:p w14:paraId="59A9ADE6">
            <w:pPr>
              <w:adjustRightInd w:val="0"/>
              <w:snapToGrid w:val="0"/>
              <w:spacing w:line="240" w:lineRule="auto"/>
              <w:ind w:left="0" w:leftChars="0" w:firstLine="0" w:firstLineChars="0"/>
              <w:jc w:val="center"/>
              <w:rPr>
                <w:rFonts w:hint="default"/>
                <w:color w:val="auto"/>
                <w:vertAlign w:val="baseline"/>
                <w:lang w:val="en-US" w:eastAsia="zh-CN"/>
              </w:rPr>
            </w:pPr>
            <w:r>
              <w:rPr>
                <w:rFonts w:hint="eastAsia"/>
                <w:color w:val="auto"/>
                <w:vertAlign w:val="baseline"/>
                <w:lang w:val="en-US" w:eastAsia="zh-CN"/>
              </w:rPr>
              <w:t>现状滩面</w:t>
            </w:r>
          </w:p>
        </w:tc>
      </w:tr>
    </w:tbl>
    <w:p w14:paraId="32F0B848">
      <w:pPr>
        <w:pStyle w:val="5"/>
        <w:outlineLvl w:val="2"/>
        <w:rPr>
          <w:color w:val="auto"/>
        </w:rPr>
      </w:pPr>
      <w:bookmarkStart w:id="292" w:name="_Toc372275110"/>
      <w:bookmarkStart w:id="293" w:name="_Toc441499531"/>
      <w:bookmarkStart w:id="294" w:name="_Toc23850"/>
      <w:bookmarkStart w:id="295" w:name="_Toc441499197"/>
      <w:bookmarkStart w:id="296" w:name="_Toc100570428"/>
      <w:bookmarkStart w:id="297" w:name="_Toc105057963"/>
      <w:bookmarkStart w:id="298" w:name="_Toc10264"/>
      <w:bookmarkStart w:id="299" w:name="_Toc5614"/>
      <w:r>
        <w:rPr>
          <w:rFonts w:hint="eastAsia"/>
          <w:color w:val="auto"/>
          <w:lang w:val="en-US" w:eastAsia="zh-CN"/>
        </w:rPr>
        <w:t>尾矿库覆</w:t>
      </w:r>
      <w:r>
        <w:rPr>
          <w:rFonts w:hint="eastAsia"/>
          <w:color w:val="auto"/>
        </w:rPr>
        <w:t>土</w:t>
      </w:r>
      <w:r>
        <w:rPr>
          <w:rFonts w:hint="eastAsia"/>
          <w:color w:val="auto"/>
          <w:lang w:val="en-US" w:eastAsia="zh-CN"/>
        </w:rPr>
        <w:t>复绿</w:t>
      </w:r>
      <w:bookmarkEnd w:id="292"/>
      <w:bookmarkEnd w:id="293"/>
      <w:bookmarkEnd w:id="294"/>
      <w:bookmarkEnd w:id="295"/>
      <w:bookmarkEnd w:id="296"/>
      <w:bookmarkEnd w:id="297"/>
      <w:bookmarkEnd w:id="298"/>
      <w:bookmarkEnd w:id="299"/>
    </w:p>
    <w:p w14:paraId="7974A275">
      <w:pPr>
        <w:numPr>
          <w:ilvl w:val="0"/>
          <w:numId w:val="0"/>
        </w:numPr>
        <w:ind w:firstLine="562" w:firstLineChars="200"/>
        <w:rPr>
          <w:rFonts w:hint="eastAsia"/>
          <w:b/>
          <w:bCs/>
          <w:color w:val="auto"/>
          <w:lang w:val="en-US" w:eastAsia="zh-CN"/>
        </w:rPr>
      </w:pPr>
      <w:bookmarkStart w:id="300" w:name="_Toc372275112"/>
      <w:bookmarkStart w:id="301" w:name="_Toc441499199"/>
      <w:bookmarkStart w:id="302" w:name="_Toc227988209"/>
      <w:r>
        <w:rPr>
          <w:rFonts w:hint="eastAsia" w:ascii="Times New Roman" w:hAnsi="Times New Roman" w:eastAsia="宋体" w:cs="Times New Roman"/>
          <w:b/>
          <w:bCs/>
          <w:snapToGrid w:val="0"/>
          <w:color w:val="auto"/>
          <w:sz w:val="28"/>
          <w:szCs w:val="28"/>
          <w:lang w:val="en-US" w:eastAsia="zh-CN" w:bidi="ar-SA"/>
        </w:rPr>
        <w:t>1、</w:t>
      </w:r>
      <w:r>
        <w:rPr>
          <w:rFonts w:hint="eastAsia"/>
          <w:b/>
          <w:bCs/>
          <w:color w:val="auto"/>
          <w:lang w:val="en-US" w:eastAsia="zh-CN"/>
        </w:rPr>
        <w:t>设计情况</w:t>
      </w:r>
    </w:p>
    <w:p w14:paraId="4B6C6FA2">
      <w:pPr>
        <w:rPr>
          <w:rFonts w:hint="eastAsia"/>
          <w:color w:val="auto"/>
          <w:lang w:val="zh-CN" w:eastAsia="zh-CN"/>
        </w:rPr>
      </w:pPr>
      <w:r>
        <w:rPr>
          <w:rFonts w:hint="eastAsia"/>
          <w:color w:val="auto"/>
          <w:lang w:val="zh-CN" w:eastAsia="zh-CN"/>
        </w:rPr>
        <w:t>根据场地的实际情况，采取播撒草种进行植物种植设计。</w:t>
      </w:r>
    </w:p>
    <w:p w14:paraId="4E4CC80D">
      <w:pPr>
        <w:rPr>
          <w:rFonts w:hint="eastAsia"/>
          <w:color w:val="auto"/>
          <w:lang w:val="zh-CN" w:eastAsia="zh-CN"/>
        </w:rPr>
      </w:pPr>
      <w:r>
        <w:rPr>
          <w:rFonts w:hint="eastAsia"/>
          <w:color w:val="auto"/>
          <w:lang w:val="zh-CN" w:eastAsia="zh-CN"/>
        </w:rPr>
        <w:t>对裸露地表全面撒播黄茅、狗牙根。撒播可春播或秋播，春播以3~5月的湿润天气播种最为适宜，秋播宜在9月中旬之前进行。播种量120kg/h</w:t>
      </w:r>
      <w:r>
        <w:rPr>
          <w:rFonts w:hint="eastAsia"/>
          <w:color w:val="auto"/>
          <w:vertAlign w:val="baseline"/>
          <w:lang w:val="zh-CN" w:eastAsia="zh-CN"/>
        </w:rPr>
        <w:t>m</w:t>
      </w:r>
      <w:r>
        <w:rPr>
          <w:rFonts w:hint="eastAsia"/>
          <w:color w:val="auto"/>
          <w:vertAlign w:val="superscript"/>
          <w:lang w:val="zh-CN" w:eastAsia="zh-CN"/>
        </w:rPr>
        <w:t>2</w:t>
      </w:r>
      <w:r>
        <w:rPr>
          <w:rFonts w:hint="eastAsia"/>
          <w:color w:val="auto"/>
          <w:lang w:val="zh-CN" w:eastAsia="zh-CN"/>
        </w:rPr>
        <w:t>。播种前先将土壤整平、耙细，并将种子在60℃的温水中浸种1小时后再播种；播种后用耙子来回耙动，使种子充分入土，并稍加滚压，浇透水，保持土壤湿润。</w:t>
      </w:r>
    </w:p>
    <w:p w14:paraId="0DA29075">
      <w:pPr>
        <w:rPr>
          <w:rFonts w:hint="eastAsia"/>
          <w:b/>
          <w:bCs/>
          <w:color w:val="auto"/>
          <w:lang w:val="en-US" w:eastAsia="zh-CN"/>
        </w:rPr>
      </w:pPr>
      <w:r>
        <w:rPr>
          <w:rFonts w:hint="eastAsia"/>
          <w:b/>
          <w:bCs/>
          <w:color w:val="auto"/>
          <w:lang w:val="en-US" w:eastAsia="zh-CN"/>
        </w:rPr>
        <w:t>2、</w:t>
      </w:r>
      <w:r>
        <w:rPr>
          <w:rFonts w:hint="eastAsia"/>
          <w:b/>
          <w:bCs/>
          <w:color w:val="auto"/>
          <w:sz w:val="28"/>
          <w:szCs w:val="28"/>
          <w:lang w:val="en-US" w:eastAsia="zh-CN"/>
        </w:rPr>
        <w:t>闭库工程建设情况</w:t>
      </w:r>
    </w:p>
    <w:p w14:paraId="38555D53">
      <w:pPr>
        <w:rPr>
          <w:rFonts w:hint="default"/>
          <w:color w:val="auto"/>
          <w:highlight w:val="none"/>
          <w:lang w:val="en-US" w:eastAsia="zh-CN"/>
        </w:rPr>
      </w:pPr>
      <w:r>
        <w:rPr>
          <w:rFonts w:hint="eastAsia"/>
          <w:color w:val="auto"/>
          <w:highlight w:val="none"/>
          <w:lang w:val="zh-CN" w:eastAsia="zh-CN"/>
        </w:rPr>
        <w:t>绿化种植33273.8㎡，铺设600㎜厚种植土33273.8㎡，</w:t>
      </w:r>
      <w:r>
        <w:rPr>
          <w:rFonts w:hint="eastAsia"/>
          <w:color w:val="auto"/>
          <w:highlight w:val="none"/>
          <w:lang w:val="en-US" w:eastAsia="zh-CN"/>
        </w:rPr>
        <w:t>现场勘查种植的灌木已基本成活，播撒的草籽已经发芽，但放牧情况的存在对滩面绿化有一定的损坏，建议加强管理。</w:t>
      </w:r>
    </w:p>
    <w:bookmarkEnd w:id="300"/>
    <w:bookmarkEnd w:id="301"/>
    <w:bookmarkEnd w:id="302"/>
    <w:tbl>
      <w:tblPr>
        <w:tblStyle w:val="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6"/>
        <w:gridCol w:w="4696"/>
      </w:tblGrid>
      <w:tr w14:paraId="3D4F5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4516" w:type="dxa"/>
            <w:vAlign w:val="center"/>
          </w:tcPr>
          <w:p w14:paraId="6B5ED3D9">
            <w:pPr>
              <w:pStyle w:val="290"/>
              <w:spacing w:line="240" w:lineRule="auto"/>
              <w:jc w:val="center"/>
              <w:rPr>
                <w:rFonts w:hint="eastAsia" w:eastAsia="宋体"/>
                <w:color w:val="auto"/>
                <w:vertAlign w:val="baseline"/>
                <w:lang w:eastAsia="zh-CN"/>
              </w:rPr>
            </w:pPr>
            <w:r>
              <w:rPr>
                <w:rFonts w:hint="eastAsia" w:eastAsia="宋体"/>
                <w:color w:val="auto"/>
                <w:vertAlign w:val="baseline"/>
                <w:lang w:eastAsia="zh-CN"/>
              </w:rPr>
              <w:drawing>
                <wp:inline distT="0" distB="0" distL="114300" distR="114300">
                  <wp:extent cx="2722880" cy="1531620"/>
                  <wp:effectExtent l="0" t="0" r="7620" b="5080"/>
                  <wp:docPr id="15" name="图片 15" descr="c75dd399a4b42f0d32ec437d1a3e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75dd399a4b42f0d32ec437d1a3e543"/>
                          <pic:cNvPicPr>
                            <a:picLocks noChangeAspect="1"/>
                          </pic:cNvPicPr>
                        </pic:nvPicPr>
                        <pic:blipFill>
                          <a:blip r:embed="rId53"/>
                          <a:stretch>
                            <a:fillRect/>
                          </a:stretch>
                        </pic:blipFill>
                        <pic:spPr>
                          <a:xfrm>
                            <a:off x="0" y="0"/>
                            <a:ext cx="2722880" cy="1531620"/>
                          </a:xfrm>
                          <a:prstGeom prst="rect">
                            <a:avLst/>
                          </a:prstGeom>
                        </pic:spPr>
                      </pic:pic>
                    </a:graphicData>
                  </a:graphic>
                </wp:inline>
              </w:drawing>
            </w:r>
          </w:p>
        </w:tc>
        <w:tc>
          <w:tcPr>
            <w:tcW w:w="4696" w:type="dxa"/>
            <w:vAlign w:val="center"/>
          </w:tcPr>
          <w:p w14:paraId="447509D3">
            <w:pPr>
              <w:pStyle w:val="290"/>
              <w:spacing w:line="240" w:lineRule="auto"/>
              <w:jc w:val="center"/>
              <w:rPr>
                <w:rFonts w:hint="eastAsia" w:eastAsia="宋体"/>
                <w:color w:val="auto"/>
                <w:vertAlign w:val="baseline"/>
                <w:lang w:eastAsia="zh-CN"/>
              </w:rPr>
            </w:pPr>
            <w:r>
              <w:rPr>
                <w:rFonts w:hint="eastAsia" w:eastAsia="宋体"/>
                <w:color w:val="auto"/>
                <w:vertAlign w:val="baseline"/>
                <w:lang w:eastAsia="zh-CN"/>
              </w:rPr>
              <w:drawing>
                <wp:inline distT="0" distB="0" distL="114300" distR="114300">
                  <wp:extent cx="2834640" cy="1594485"/>
                  <wp:effectExtent l="0" t="0" r="10160" b="5715"/>
                  <wp:docPr id="17" name="图片 17" descr="adeaddeea016e1316db153ebb71f3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adeaddeea016e1316db153ebb71f39f"/>
                          <pic:cNvPicPr>
                            <a:picLocks noChangeAspect="1"/>
                          </pic:cNvPicPr>
                        </pic:nvPicPr>
                        <pic:blipFill>
                          <a:blip r:embed="rId28"/>
                          <a:stretch>
                            <a:fillRect/>
                          </a:stretch>
                        </pic:blipFill>
                        <pic:spPr>
                          <a:xfrm>
                            <a:off x="0" y="0"/>
                            <a:ext cx="2834640" cy="1594485"/>
                          </a:xfrm>
                          <a:prstGeom prst="rect">
                            <a:avLst/>
                          </a:prstGeom>
                        </pic:spPr>
                      </pic:pic>
                    </a:graphicData>
                  </a:graphic>
                </wp:inline>
              </w:drawing>
            </w:r>
          </w:p>
        </w:tc>
      </w:tr>
      <w:tr w14:paraId="33A11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2" w:type="dxa"/>
            <w:gridSpan w:val="2"/>
            <w:vAlign w:val="center"/>
          </w:tcPr>
          <w:p w14:paraId="4971936C">
            <w:pPr>
              <w:pStyle w:val="290"/>
              <w:spacing w:line="240" w:lineRule="auto"/>
              <w:jc w:val="center"/>
              <w:rPr>
                <w:rFonts w:hint="default" w:eastAsia="宋体"/>
                <w:color w:val="auto"/>
                <w:vertAlign w:val="baseline"/>
                <w:lang w:val="en-US" w:eastAsia="zh-CN"/>
              </w:rPr>
            </w:pPr>
            <w:r>
              <w:rPr>
                <w:rFonts w:hint="eastAsia"/>
                <w:color w:val="auto"/>
                <w:vertAlign w:val="baseline"/>
                <w:lang w:val="en-US" w:eastAsia="zh-CN"/>
              </w:rPr>
              <w:t>滩面复绿情况</w:t>
            </w:r>
          </w:p>
        </w:tc>
      </w:tr>
    </w:tbl>
    <w:p w14:paraId="4D3A5147">
      <w:pPr>
        <w:adjustRightInd w:val="0"/>
        <w:snapToGrid w:val="0"/>
        <w:ind w:firstLine="560"/>
        <w:rPr>
          <w:rFonts w:hint="default"/>
          <w:color w:val="auto"/>
          <w:lang w:val="en-US" w:eastAsia="zh-CN"/>
        </w:rPr>
      </w:pPr>
    </w:p>
    <w:p w14:paraId="6C939A12">
      <w:pPr>
        <w:pStyle w:val="5"/>
        <w:outlineLvl w:val="2"/>
        <w:rPr>
          <w:color w:val="auto"/>
        </w:rPr>
      </w:pPr>
      <w:bookmarkStart w:id="303" w:name="_Toc105057948"/>
      <w:bookmarkStart w:id="304" w:name="_Toc22314"/>
      <w:bookmarkStart w:id="305" w:name="_Toc29301"/>
      <w:r>
        <w:rPr>
          <w:color w:val="auto"/>
        </w:rPr>
        <w:t>辅助设施</w:t>
      </w:r>
      <w:bookmarkEnd w:id="303"/>
      <w:bookmarkEnd w:id="304"/>
      <w:bookmarkEnd w:id="305"/>
    </w:p>
    <w:p w14:paraId="20DC262B">
      <w:pPr>
        <w:pStyle w:val="6"/>
        <w:outlineLvl w:val="3"/>
        <w:rPr>
          <w:rFonts w:hint="eastAsia" w:eastAsiaTheme="minorEastAsia"/>
          <w:color w:val="auto"/>
          <w:lang w:eastAsia="zh-CN"/>
        </w:rPr>
      </w:pPr>
      <w:r>
        <w:rPr>
          <w:color w:val="auto"/>
        </w:rPr>
        <w:t>交通道路</w:t>
      </w:r>
    </w:p>
    <w:p w14:paraId="3C3E9BF2">
      <w:pPr>
        <w:adjustRightInd w:val="0"/>
        <w:snapToGrid w:val="0"/>
        <w:ind w:firstLine="560"/>
        <w:rPr>
          <w:rFonts w:eastAsiaTheme="minorEastAsia"/>
          <w:color w:val="auto"/>
          <w:sz w:val="28"/>
          <w:szCs w:val="28"/>
        </w:rPr>
      </w:pPr>
      <w:r>
        <w:rPr>
          <w:rFonts w:hint="eastAsia" w:eastAsiaTheme="minorEastAsia"/>
          <w:color w:val="auto"/>
          <w:sz w:val="28"/>
          <w:szCs w:val="28"/>
        </w:rPr>
        <w:t>在尾矿库右岸为选厂，目前有道路与外部道路相连，可满足车辆通行的要求。</w:t>
      </w:r>
    </w:p>
    <w:p w14:paraId="31E0B010">
      <w:pPr>
        <w:adjustRightInd w:val="0"/>
        <w:snapToGrid w:val="0"/>
        <w:ind w:firstLine="560"/>
        <w:rPr>
          <w:b/>
          <w:bCs/>
          <w:color w:val="auto"/>
        </w:rPr>
      </w:pPr>
      <w:r>
        <w:rPr>
          <w:rFonts w:hint="eastAsia"/>
          <w:color w:val="auto"/>
          <w:lang w:val="en-US" w:eastAsia="zh-CN"/>
        </w:rPr>
        <w:t>建议在闭库工程施工结束，机械设备退场后在入口处设置简易拦挡设施，防止外部人员进入，建议设置固定式的围栏并悬挂警示标识</w:t>
      </w:r>
      <w:r>
        <w:rPr>
          <w:color w:val="auto"/>
        </w:rPr>
        <w:t>。</w:t>
      </w:r>
    </w:p>
    <w:p w14:paraId="4FF83B18">
      <w:pPr>
        <w:pStyle w:val="6"/>
        <w:outlineLvl w:val="3"/>
        <w:rPr>
          <w:color w:val="auto"/>
        </w:rPr>
      </w:pPr>
      <w:r>
        <w:rPr>
          <w:color w:val="auto"/>
        </w:rPr>
        <w:t>供配电系统</w:t>
      </w:r>
    </w:p>
    <w:p w14:paraId="36597CF1">
      <w:pPr>
        <w:pStyle w:val="56"/>
        <w:ind w:firstLine="560" w:firstLineChars="200"/>
        <w:rPr>
          <w:b/>
          <w:bCs/>
          <w:color w:val="auto"/>
        </w:rPr>
      </w:pPr>
      <w:r>
        <w:rPr>
          <w:rFonts w:hint="eastAsia"/>
          <w:color w:val="auto"/>
          <w:lang w:val="en-US" w:eastAsia="zh-CN"/>
        </w:rPr>
        <w:t>尾矿库停产多年，供配电系统已无配置，闭库工程施工未使用电力。</w:t>
      </w:r>
    </w:p>
    <w:p w14:paraId="6E940505">
      <w:pPr>
        <w:pStyle w:val="5"/>
        <w:outlineLvl w:val="2"/>
        <w:rPr>
          <w:color w:val="auto"/>
        </w:rPr>
      </w:pPr>
      <w:bookmarkStart w:id="306" w:name="_Toc105057949"/>
      <w:bookmarkStart w:id="307" w:name="_Toc830"/>
      <w:bookmarkStart w:id="308" w:name="_Toc24050"/>
      <w:r>
        <w:rPr>
          <w:color w:val="auto"/>
        </w:rPr>
        <w:t>个人安全防护</w:t>
      </w:r>
      <w:bookmarkEnd w:id="306"/>
      <w:bookmarkEnd w:id="307"/>
      <w:bookmarkEnd w:id="308"/>
    </w:p>
    <w:p w14:paraId="58049F93">
      <w:pPr>
        <w:rPr>
          <w:color w:val="auto"/>
        </w:rPr>
      </w:pPr>
      <w:r>
        <w:rPr>
          <w:rFonts w:hint="eastAsia"/>
          <w:b w:val="0"/>
          <w:bCs w:val="0"/>
          <w:color w:val="auto"/>
          <w:lang w:val="en-US" w:eastAsia="zh-CN"/>
        </w:rPr>
        <w:t>尾矿库为无主库，由当地应急管理局组织闭库</w:t>
      </w:r>
      <w:r>
        <w:rPr>
          <w:color w:val="auto"/>
        </w:rPr>
        <w:t>。</w:t>
      </w:r>
    </w:p>
    <w:p w14:paraId="7AFB37B0">
      <w:pPr>
        <w:pStyle w:val="5"/>
        <w:outlineLvl w:val="2"/>
        <w:rPr>
          <w:color w:val="auto"/>
        </w:rPr>
      </w:pPr>
      <w:bookmarkStart w:id="309" w:name="_Toc11471"/>
      <w:bookmarkStart w:id="310" w:name="_Toc9913"/>
      <w:bookmarkStart w:id="311" w:name="_Toc105057950"/>
      <w:r>
        <w:rPr>
          <w:color w:val="auto"/>
        </w:rPr>
        <w:t>安全标志</w:t>
      </w:r>
      <w:bookmarkEnd w:id="309"/>
      <w:bookmarkEnd w:id="310"/>
      <w:bookmarkEnd w:id="311"/>
    </w:p>
    <w:p w14:paraId="7EEE8A9C">
      <w:pPr>
        <w:pStyle w:val="56"/>
        <w:ind w:firstLine="560" w:firstLineChars="200"/>
        <w:rPr>
          <w:rFonts w:ascii="Times New Roman" w:hAnsi="Times New Roman" w:eastAsia="宋体" w:cs="Times New Roman"/>
          <w:snapToGrid w:val="0"/>
          <w:color w:val="auto"/>
          <w:sz w:val="28"/>
          <w:szCs w:val="28"/>
          <w:lang w:val="en-US" w:eastAsia="zh-CN" w:bidi="ar-SA"/>
        </w:rPr>
      </w:pPr>
      <w:r>
        <w:rPr>
          <w:rFonts w:ascii="Times New Roman" w:hAnsi="Times New Roman" w:eastAsia="宋体" w:cs="Times New Roman"/>
          <w:snapToGrid w:val="0"/>
          <w:color w:val="auto"/>
          <w:sz w:val="28"/>
          <w:szCs w:val="28"/>
          <w:lang w:val="en-US" w:eastAsia="zh-CN" w:bidi="ar-SA"/>
        </w:rPr>
        <w:t>库区设置了禁止入内、禁止放牧等安全标志</w:t>
      </w:r>
      <w:r>
        <w:rPr>
          <w:rFonts w:hint="eastAsia" w:ascii="Times New Roman" w:hAnsi="Times New Roman" w:eastAsia="宋体" w:cs="Times New Roman"/>
          <w:snapToGrid w:val="0"/>
          <w:color w:val="auto"/>
          <w:sz w:val="28"/>
          <w:szCs w:val="28"/>
          <w:lang w:val="en-US" w:eastAsia="zh-CN" w:bidi="ar-SA"/>
        </w:rPr>
        <w:t>，建议在路口设置固定的拦挡措施，并悬挂警示标识，同时告知周边村民尾矿库的危险性</w:t>
      </w:r>
      <w:r>
        <w:rPr>
          <w:rFonts w:ascii="Times New Roman" w:hAnsi="Times New Roman" w:eastAsia="宋体" w:cs="Times New Roman"/>
          <w:snapToGrid w:val="0"/>
          <w:color w:val="auto"/>
          <w:sz w:val="28"/>
          <w:szCs w:val="28"/>
          <w:lang w:val="en-US" w:eastAsia="zh-CN" w:bidi="ar-SA"/>
        </w:rPr>
        <w:t>。</w:t>
      </w:r>
    </w:p>
    <w:p w14:paraId="0E509098">
      <w:pPr>
        <w:pStyle w:val="5"/>
        <w:outlineLvl w:val="2"/>
        <w:rPr>
          <w:color w:val="auto"/>
        </w:rPr>
      </w:pPr>
      <w:bookmarkStart w:id="312" w:name="_Toc105057951"/>
      <w:bookmarkStart w:id="313" w:name="_Toc8178"/>
      <w:bookmarkStart w:id="314" w:name="_Toc30982"/>
      <w:r>
        <w:rPr>
          <w:color w:val="auto"/>
        </w:rPr>
        <w:t>安全管理</w:t>
      </w:r>
      <w:bookmarkEnd w:id="312"/>
      <w:bookmarkEnd w:id="313"/>
      <w:bookmarkEnd w:id="314"/>
    </w:p>
    <w:p w14:paraId="58F09F53">
      <w:pPr>
        <w:numPr>
          <w:ilvl w:val="0"/>
          <w:numId w:val="0"/>
        </w:numPr>
        <w:bidi w:val="0"/>
        <w:ind w:firstLine="562" w:firstLineChars="200"/>
        <w:rPr>
          <w:rFonts w:hint="eastAsia"/>
          <w:b/>
          <w:bCs/>
          <w:color w:val="auto"/>
          <w:lang w:val="en-US" w:eastAsia="zh-CN"/>
        </w:rPr>
      </w:pPr>
      <w:r>
        <w:rPr>
          <w:rFonts w:hint="eastAsia" w:ascii="Times New Roman" w:hAnsi="Times New Roman" w:eastAsia="宋体" w:cs="Times New Roman"/>
          <w:b/>
          <w:bCs/>
          <w:snapToGrid w:val="0"/>
          <w:color w:val="auto"/>
          <w:sz w:val="28"/>
          <w:szCs w:val="28"/>
          <w:lang w:val="en-US" w:eastAsia="zh-CN" w:bidi="ar-SA"/>
        </w:rPr>
        <w:t>1、</w:t>
      </w:r>
      <w:r>
        <w:rPr>
          <w:rFonts w:hint="eastAsia"/>
          <w:b/>
          <w:bCs/>
          <w:color w:val="auto"/>
          <w:lang w:val="en-US" w:eastAsia="zh-CN"/>
        </w:rPr>
        <w:t>设计情况</w:t>
      </w:r>
    </w:p>
    <w:p w14:paraId="357BB32F">
      <w:pPr>
        <w:bidi w:val="0"/>
        <w:rPr>
          <w:rFonts w:hint="eastAsia"/>
          <w:color w:val="auto"/>
          <w:lang w:val="en-US" w:eastAsia="zh-CN"/>
        </w:rPr>
      </w:pPr>
      <w:r>
        <w:rPr>
          <w:rFonts w:hint="eastAsia"/>
          <w:color w:val="auto"/>
          <w:lang w:val="en-US" w:eastAsia="zh-CN"/>
        </w:rPr>
        <w:t>严格执行《尾矿库安全规程》，闭库治理工程施工完毕应当向当地主管部门申请闭库验收。对于出现的问题做到及时发现、及时处理，达到满足尾矿库安全的要求，尽可能地实现风险概率最小化。闭库后尾矿库的管理由当地相关部门继续负责，主要是继续以下监测及维护：</w:t>
      </w:r>
    </w:p>
    <w:p w14:paraId="4285C4AA">
      <w:pPr>
        <w:bidi w:val="0"/>
        <w:rPr>
          <w:rFonts w:hint="eastAsia"/>
          <w:color w:val="auto"/>
          <w:lang w:val="en-US" w:eastAsia="zh-CN"/>
        </w:rPr>
      </w:pPr>
      <w:r>
        <w:rPr>
          <w:rFonts w:hint="eastAsia"/>
          <w:color w:val="auto"/>
          <w:lang w:val="en-US" w:eastAsia="zh-CN"/>
        </w:rPr>
        <w:t>（1）尾矿库闭库区排洪设施：检查构筑物有无变形、位移、损毁、淤堵，排水能力是否满足要求等。汛期前应及时疏通、清淤或者修缮排洪设施。闭库后挡水坝，截洪沟、排水沟等重要设施，必须确保其泄洪能力，以免影响尾矿坝的稳定。</w:t>
      </w:r>
    </w:p>
    <w:p w14:paraId="2D2E8C20">
      <w:pPr>
        <w:bidi w:val="0"/>
        <w:rPr>
          <w:rFonts w:hint="eastAsia"/>
          <w:color w:val="auto"/>
          <w:lang w:val="en-US" w:eastAsia="zh-CN"/>
        </w:rPr>
      </w:pPr>
      <w:r>
        <w:rPr>
          <w:rFonts w:hint="eastAsia"/>
          <w:color w:val="auto"/>
          <w:lang w:val="en-US" w:eastAsia="zh-CN"/>
        </w:rPr>
        <w:t>（2）尾矿坝及覆土：主要检查监测坝体轮廓尺寸，变形、裂缝、滑坡、以及库区覆土层的下沉、开裂等并做好相应的记录，如有异常应通知有关部门采取相应的应急处理措施。</w:t>
      </w:r>
    </w:p>
    <w:p w14:paraId="122B9582">
      <w:pPr>
        <w:bidi w:val="0"/>
        <w:rPr>
          <w:rFonts w:hint="eastAsia"/>
          <w:color w:val="auto"/>
          <w:lang w:val="en-US" w:eastAsia="zh-CN"/>
        </w:rPr>
      </w:pPr>
      <w:r>
        <w:rPr>
          <w:rFonts w:hint="eastAsia"/>
          <w:color w:val="auto"/>
          <w:lang w:val="en-US" w:eastAsia="zh-CN"/>
        </w:rPr>
        <w:t>（3）植被：保证闭库后滩面及库区覆盖植被的成活率以及植被的种植密度。确保尾矿库的生态治理。严禁闭库后尾矿库内存水，严禁闭库后在尾矿库内进行乱采、滥挖、违章建筑和违章作业。严禁闭库后向尾矿库内堆排放尾矿。</w:t>
      </w:r>
    </w:p>
    <w:p w14:paraId="24FC486E">
      <w:pPr>
        <w:bidi w:val="0"/>
        <w:rPr>
          <w:rFonts w:hint="eastAsia"/>
          <w:color w:val="auto"/>
          <w:lang w:val="en-US" w:eastAsia="zh-CN"/>
        </w:rPr>
      </w:pPr>
      <w:r>
        <w:rPr>
          <w:rFonts w:hint="eastAsia"/>
          <w:color w:val="auto"/>
          <w:lang w:val="en-US" w:eastAsia="zh-CN"/>
        </w:rPr>
        <w:t>安全制度管理要求：</w:t>
      </w:r>
    </w:p>
    <w:p w14:paraId="43F7A77F">
      <w:pPr>
        <w:bidi w:val="0"/>
        <w:rPr>
          <w:rFonts w:hint="eastAsia"/>
          <w:color w:val="auto"/>
          <w:lang w:val="en-US" w:eastAsia="zh-CN"/>
        </w:rPr>
      </w:pPr>
      <w:r>
        <w:rPr>
          <w:rFonts w:hint="eastAsia"/>
          <w:color w:val="auto"/>
          <w:lang w:val="en-US" w:eastAsia="zh-CN"/>
        </w:rPr>
        <w:t>严格遵循《尾矿库安全规程》、《尾矿库安全监督管理规定》的要求，做好尾矿库排水、防汛、抗震、监测等安全管理，防止发生事故和灾害。</w:t>
      </w:r>
    </w:p>
    <w:p w14:paraId="26ABBF51">
      <w:pPr>
        <w:bidi w:val="0"/>
        <w:rPr>
          <w:rFonts w:hint="eastAsia"/>
          <w:color w:val="auto"/>
          <w:lang w:val="en-US" w:eastAsia="zh-CN"/>
        </w:rPr>
      </w:pPr>
      <w:r>
        <w:rPr>
          <w:rFonts w:hint="eastAsia"/>
          <w:color w:val="auto"/>
          <w:lang w:val="en-US" w:eastAsia="zh-CN"/>
        </w:rPr>
        <w:t>对于尾矿库出现的问题做到及时发现、及时处理，达到满足尾矿库安全的要求，尽可能地实现风险概率最小化。</w:t>
      </w:r>
    </w:p>
    <w:p w14:paraId="0A4C840D">
      <w:pPr>
        <w:bidi w:val="0"/>
        <w:rPr>
          <w:rFonts w:hint="eastAsia"/>
          <w:b/>
          <w:bCs/>
          <w:color w:val="auto"/>
          <w:lang w:val="en-US" w:eastAsia="zh-CN"/>
        </w:rPr>
      </w:pPr>
      <w:r>
        <w:rPr>
          <w:rFonts w:hint="eastAsia"/>
          <w:b/>
          <w:bCs/>
          <w:color w:val="auto"/>
          <w:lang w:val="en-US" w:eastAsia="zh-CN"/>
        </w:rPr>
        <w:t>2、</w:t>
      </w:r>
      <w:r>
        <w:rPr>
          <w:rFonts w:hint="eastAsia"/>
          <w:b/>
          <w:bCs/>
          <w:color w:val="auto"/>
          <w:sz w:val="28"/>
          <w:szCs w:val="28"/>
          <w:lang w:val="en-US" w:eastAsia="zh-CN"/>
        </w:rPr>
        <w:t>闭库工程建设情况</w:t>
      </w:r>
    </w:p>
    <w:p w14:paraId="7EA7F71B">
      <w:pPr>
        <w:bidi w:val="0"/>
        <w:rPr>
          <w:rFonts w:hint="eastAsia"/>
          <w:color w:val="auto"/>
          <w:lang w:val="en-US" w:eastAsia="zh-CN"/>
        </w:rPr>
      </w:pPr>
      <w:r>
        <w:rPr>
          <w:rFonts w:hint="eastAsia"/>
          <w:color w:val="auto"/>
          <w:lang w:val="en-US" w:eastAsia="zh-CN"/>
        </w:rPr>
        <w:t>由施工单位专人负责尾矿库的闭库全过程，现已完成全部施工过程，并经过了监理单位验收。在闭库后监测期内，由施工单位负责监测及安全管理，闭库销号后将由当地安全监管部门继续负责。</w:t>
      </w:r>
    </w:p>
    <w:p w14:paraId="38DCB30B">
      <w:pPr>
        <w:pStyle w:val="5"/>
        <w:outlineLvl w:val="2"/>
        <w:rPr>
          <w:rFonts w:hint="default"/>
          <w:color w:val="auto"/>
          <w:lang w:val="en-US" w:eastAsia="zh-CN"/>
        </w:rPr>
      </w:pPr>
      <w:bookmarkStart w:id="315" w:name="_Toc2741"/>
      <w:bookmarkStart w:id="316" w:name="_Toc678"/>
      <w:r>
        <w:rPr>
          <w:rFonts w:hint="eastAsia"/>
          <w:color w:val="auto"/>
          <w:lang w:val="en-US" w:eastAsia="zh-CN"/>
        </w:rPr>
        <w:t>安全设施投入情况</w:t>
      </w:r>
      <w:bookmarkEnd w:id="315"/>
      <w:bookmarkEnd w:id="316"/>
    </w:p>
    <w:p w14:paraId="023279E6">
      <w:pPr>
        <w:rPr>
          <w:rFonts w:hint="eastAsia"/>
          <w:b/>
          <w:bCs/>
          <w:color w:val="auto"/>
          <w:lang w:val="en-US" w:eastAsia="zh-CN"/>
        </w:rPr>
      </w:pPr>
      <w:r>
        <w:rPr>
          <w:rFonts w:hint="eastAsia"/>
          <w:b/>
          <w:bCs/>
          <w:color w:val="auto"/>
          <w:lang w:val="en-US" w:eastAsia="zh-CN"/>
        </w:rPr>
        <w:t>1、闭库设计情况</w:t>
      </w:r>
    </w:p>
    <w:p w14:paraId="5147EF64">
      <w:pPr>
        <w:rPr>
          <w:rFonts w:hint="eastAsia"/>
          <w:b w:val="0"/>
          <w:bCs w:val="0"/>
          <w:color w:val="auto"/>
          <w:lang w:val="en-US" w:eastAsia="zh-CN"/>
        </w:rPr>
      </w:pPr>
      <w:r>
        <w:rPr>
          <w:rFonts w:hint="eastAsia"/>
          <w:b w:val="0"/>
          <w:bCs w:val="0"/>
          <w:color w:val="auto"/>
          <w:lang w:val="en-US" w:eastAsia="zh-CN"/>
        </w:rPr>
        <w:t>主要投资为工程费用和其他资料费用，总预计投资为416.48万元。</w:t>
      </w:r>
    </w:p>
    <w:p w14:paraId="7A746AD4">
      <w:pPr>
        <w:adjustRightInd w:val="0"/>
        <w:snapToGrid w:val="0"/>
        <w:ind w:firstLine="562" w:firstLineChars="200"/>
        <w:rPr>
          <w:rFonts w:hint="eastAsia"/>
          <w:b/>
          <w:bCs/>
          <w:color w:val="auto"/>
          <w:lang w:val="en-US" w:eastAsia="zh-CN"/>
        </w:rPr>
      </w:pPr>
      <w:r>
        <w:rPr>
          <w:rFonts w:hint="eastAsia"/>
          <w:b/>
          <w:bCs/>
          <w:color w:val="auto"/>
          <w:lang w:val="en-US" w:eastAsia="zh-CN"/>
        </w:rPr>
        <w:t>2、</w:t>
      </w:r>
      <w:r>
        <w:rPr>
          <w:rFonts w:hint="eastAsia"/>
          <w:b/>
          <w:bCs/>
          <w:color w:val="auto"/>
          <w:sz w:val="28"/>
          <w:szCs w:val="28"/>
          <w:lang w:val="en-US" w:eastAsia="zh-CN"/>
        </w:rPr>
        <w:t>闭库工程建设情况</w:t>
      </w:r>
    </w:p>
    <w:p w14:paraId="0EACD38B">
      <w:pPr>
        <w:adjustRightInd w:val="0"/>
        <w:snapToGrid w:val="0"/>
        <w:ind w:firstLine="560" w:firstLineChars="200"/>
        <w:rPr>
          <w:rFonts w:hint="default" w:eastAsiaTheme="minorEastAsia"/>
          <w:color w:val="auto"/>
          <w:sz w:val="28"/>
          <w:szCs w:val="28"/>
          <w:lang w:val="en-US" w:eastAsia="zh-CN"/>
        </w:rPr>
      </w:pPr>
      <w:r>
        <w:rPr>
          <w:rFonts w:hint="eastAsia"/>
          <w:b w:val="0"/>
          <w:bCs w:val="0"/>
          <w:color w:val="auto"/>
          <w:lang w:val="en-US" w:eastAsia="zh-CN"/>
        </w:rPr>
        <w:t>元谋县应急管理局为闭库工程总投资340万元，主要是为建设</w:t>
      </w:r>
      <w:r>
        <w:rPr>
          <w:rFonts w:eastAsiaTheme="minorEastAsia"/>
          <w:color w:val="auto"/>
          <w:sz w:val="28"/>
          <w:szCs w:val="28"/>
        </w:rPr>
        <w:t>尾矿库闭库基本安全设施</w:t>
      </w:r>
      <w:r>
        <w:rPr>
          <w:rFonts w:hint="eastAsia" w:eastAsiaTheme="minorEastAsia"/>
          <w:color w:val="auto"/>
          <w:sz w:val="28"/>
          <w:szCs w:val="28"/>
          <w:lang w:eastAsia="zh-CN"/>
        </w:rPr>
        <w:t>：</w:t>
      </w:r>
      <w:r>
        <w:rPr>
          <w:rFonts w:hint="eastAsia" w:eastAsiaTheme="minorEastAsia"/>
          <w:color w:val="auto"/>
          <w:sz w:val="28"/>
          <w:szCs w:val="28"/>
          <w:lang w:val="en-US" w:eastAsia="zh-CN"/>
        </w:rPr>
        <w:t>护坡</w:t>
      </w:r>
      <w:r>
        <w:rPr>
          <w:rFonts w:eastAsiaTheme="minorEastAsia"/>
          <w:color w:val="auto"/>
          <w:sz w:val="28"/>
          <w:szCs w:val="28"/>
        </w:rPr>
        <w:t>、</w:t>
      </w:r>
      <w:r>
        <w:rPr>
          <w:rFonts w:hint="eastAsia" w:eastAsiaTheme="minorEastAsia"/>
          <w:color w:val="auto"/>
          <w:sz w:val="28"/>
          <w:szCs w:val="28"/>
          <w:lang w:val="en-US" w:eastAsia="zh-CN"/>
        </w:rPr>
        <w:t>挡水坝</w:t>
      </w:r>
      <w:r>
        <w:rPr>
          <w:rFonts w:eastAsiaTheme="minorEastAsia"/>
          <w:color w:val="auto"/>
          <w:sz w:val="28"/>
          <w:szCs w:val="28"/>
        </w:rPr>
        <w:t>、截排水沟、雨水沟、辅助设施</w:t>
      </w:r>
      <w:r>
        <w:rPr>
          <w:rFonts w:hint="eastAsia" w:eastAsiaTheme="minorEastAsia"/>
          <w:color w:val="auto"/>
          <w:sz w:val="28"/>
          <w:szCs w:val="28"/>
          <w:lang w:val="en-US" w:eastAsia="zh-CN"/>
        </w:rPr>
        <w:t>等</w:t>
      </w:r>
      <w:r>
        <w:rPr>
          <w:rFonts w:eastAsiaTheme="minorEastAsia"/>
          <w:color w:val="auto"/>
          <w:sz w:val="28"/>
          <w:szCs w:val="28"/>
        </w:rPr>
        <w:t>；</w:t>
      </w:r>
      <w:r>
        <w:rPr>
          <w:rFonts w:hint="eastAsia"/>
          <w:b w:val="0"/>
          <w:bCs w:val="0"/>
          <w:color w:val="auto"/>
          <w:lang w:val="en-US" w:eastAsia="zh-CN"/>
        </w:rPr>
        <w:t>其中</w:t>
      </w:r>
      <w:r>
        <w:rPr>
          <w:rFonts w:eastAsiaTheme="minorEastAsia"/>
          <w:color w:val="auto"/>
          <w:sz w:val="28"/>
          <w:szCs w:val="28"/>
        </w:rPr>
        <w:t>安全监测设施、辅助设施（库区安全护栏、安全标志）、应急救援器材及设备和个人安全防护用品，专用安全设施投资</w:t>
      </w:r>
      <w:r>
        <w:rPr>
          <w:rFonts w:hint="eastAsia" w:eastAsiaTheme="minorEastAsia"/>
          <w:color w:val="auto"/>
          <w:sz w:val="28"/>
          <w:szCs w:val="28"/>
          <w:lang w:val="en-US" w:eastAsia="zh-CN"/>
        </w:rPr>
        <w:t>共计11.25万元，</w:t>
      </w:r>
      <w:r>
        <w:rPr>
          <w:rFonts w:eastAsiaTheme="minorEastAsia"/>
          <w:color w:val="auto"/>
          <w:sz w:val="28"/>
          <w:szCs w:val="28"/>
        </w:rPr>
        <w:t>见表</w:t>
      </w:r>
      <w:r>
        <w:rPr>
          <w:rFonts w:hint="eastAsia" w:eastAsiaTheme="minorEastAsia"/>
          <w:color w:val="auto"/>
          <w:sz w:val="28"/>
          <w:szCs w:val="28"/>
          <w:lang w:val="en-US" w:eastAsia="zh-CN"/>
        </w:rPr>
        <w:t>2-1。</w:t>
      </w:r>
    </w:p>
    <w:p w14:paraId="3F282A90">
      <w:pPr>
        <w:pStyle w:val="108"/>
        <w:numPr>
          <w:ilvl w:val="0"/>
          <w:numId w:val="0"/>
        </w:numPr>
        <w:adjustRightInd w:val="0"/>
        <w:snapToGrid w:val="0"/>
        <w:jc w:val="center"/>
        <w:rPr>
          <w:rFonts w:eastAsiaTheme="minorEastAsia"/>
          <w:color w:val="auto"/>
        </w:rPr>
      </w:pPr>
      <w:r>
        <w:rPr>
          <w:rFonts w:eastAsiaTheme="minorEastAsia"/>
          <w:color w:val="auto"/>
        </w:rPr>
        <w:t>表</w:t>
      </w:r>
      <w:r>
        <w:rPr>
          <w:rFonts w:hint="eastAsia" w:eastAsiaTheme="minorEastAsia"/>
          <w:color w:val="auto"/>
          <w:lang w:val="en-US" w:eastAsia="zh-CN"/>
        </w:rPr>
        <w:t>2</w:t>
      </w:r>
      <w:r>
        <w:rPr>
          <w:rFonts w:eastAsiaTheme="minorEastAsia"/>
          <w:color w:val="auto"/>
        </w:rPr>
        <w:t>—</w:t>
      </w:r>
      <w:r>
        <w:rPr>
          <w:rFonts w:hint="eastAsia" w:eastAsiaTheme="minorEastAsia"/>
          <w:color w:val="auto"/>
          <w:lang w:val="en-US" w:eastAsia="zh-CN"/>
        </w:rPr>
        <w:t>1</w:t>
      </w:r>
      <w:r>
        <w:rPr>
          <w:rFonts w:hint="eastAsia" w:eastAsiaTheme="minorEastAsia"/>
          <w:color w:val="auto"/>
        </w:rPr>
        <w:t>尾矿库</w:t>
      </w:r>
      <w:r>
        <w:rPr>
          <w:rFonts w:eastAsiaTheme="minorEastAsia"/>
          <w:color w:val="auto"/>
        </w:rPr>
        <w:t>闭库工程专用安全设施投资表</w:t>
      </w:r>
    </w:p>
    <w:tbl>
      <w:tblPr>
        <w:tblStyle w:val="308"/>
        <w:tblW w:w="902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55"/>
        <w:gridCol w:w="3540"/>
        <w:gridCol w:w="2372"/>
        <w:gridCol w:w="1446"/>
        <w:gridCol w:w="1116"/>
      </w:tblGrid>
      <w:tr w14:paraId="4CE90A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jc w:val="center"/>
        </w:trPr>
        <w:tc>
          <w:tcPr>
            <w:tcW w:w="555" w:type="dxa"/>
            <w:tcBorders>
              <w:top w:val="single" w:color="000000" w:sz="10" w:space="0"/>
              <w:left w:val="single" w:color="000000" w:sz="10" w:space="0"/>
            </w:tcBorders>
            <w:vAlign w:val="top"/>
          </w:tcPr>
          <w:p w14:paraId="3BB1F911">
            <w:pPr>
              <w:pStyle w:val="90"/>
              <w:jc w:val="center"/>
              <w:rPr>
                <w:rFonts w:hint="default"/>
                <w:color w:val="auto"/>
                <w:lang w:val="en-US" w:eastAsia="zh-CN"/>
              </w:rPr>
            </w:pPr>
            <w:r>
              <w:rPr>
                <w:rFonts w:hint="default"/>
                <w:color w:val="auto"/>
                <w:lang w:val="en-US" w:eastAsia="zh-CN"/>
              </w:rPr>
              <w:t>序号</w:t>
            </w:r>
          </w:p>
        </w:tc>
        <w:tc>
          <w:tcPr>
            <w:tcW w:w="3540" w:type="dxa"/>
            <w:tcBorders>
              <w:top w:val="single" w:color="000000" w:sz="10" w:space="0"/>
            </w:tcBorders>
            <w:vAlign w:val="top"/>
          </w:tcPr>
          <w:p w14:paraId="03FFD986">
            <w:pPr>
              <w:pStyle w:val="90"/>
              <w:jc w:val="center"/>
              <w:rPr>
                <w:rFonts w:hint="default"/>
                <w:color w:val="auto"/>
                <w:lang w:val="en-US" w:eastAsia="zh-CN"/>
              </w:rPr>
            </w:pPr>
            <w:r>
              <w:rPr>
                <w:rFonts w:hint="default"/>
                <w:color w:val="auto"/>
                <w:lang w:val="en-US" w:eastAsia="zh-CN"/>
              </w:rPr>
              <w:t>名称</w:t>
            </w:r>
          </w:p>
        </w:tc>
        <w:tc>
          <w:tcPr>
            <w:tcW w:w="2372" w:type="dxa"/>
            <w:tcBorders>
              <w:top w:val="single" w:color="000000" w:sz="10" w:space="0"/>
            </w:tcBorders>
            <w:vAlign w:val="top"/>
          </w:tcPr>
          <w:p w14:paraId="048A7169">
            <w:pPr>
              <w:pStyle w:val="90"/>
              <w:jc w:val="center"/>
              <w:rPr>
                <w:rFonts w:hint="default"/>
                <w:color w:val="auto"/>
                <w:lang w:val="en-US" w:eastAsia="zh-CN"/>
              </w:rPr>
            </w:pPr>
            <w:r>
              <w:rPr>
                <w:rFonts w:hint="default"/>
                <w:color w:val="auto"/>
                <w:lang w:val="en-US" w:eastAsia="zh-CN"/>
              </w:rPr>
              <w:t>描述</w:t>
            </w:r>
          </w:p>
        </w:tc>
        <w:tc>
          <w:tcPr>
            <w:tcW w:w="0" w:type="auto"/>
            <w:tcBorders>
              <w:top w:val="single" w:color="000000" w:sz="10" w:space="0"/>
            </w:tcBorders>
            <w:vAlign w:val="top"/>
          </w:tcPr>
          <w:p w14:paraId="4687BA49">
            <w:pPr>
              <w:pStyle w:val="90"/>
              <w:jc w:val="center"/>
              <w:rPr>
                <w:rFonts w:hint="default"/>
                <w:color w:val="auto"/>
                <w:lang w:val="en-US" w:eastAsia="zh-CN"/>
              </w:rPr>
            </w:pPr>
            <w:r>
              <w:rPr>
                <w:rFonts w:hint="default"/>
                <w:color w:val="auto"/>
                <w:lang w:val="en-US" w:eastAsia="zh-CN"/>
              </w:rPr>
              <w:t>投资（万元）</w:t>
            </w:r>
          </w:p>
        </w:tc>
        <w:tc>
          <w:tcPr>
            <w:tcW w:w="1116" w:type="dxa"/>
            <w:tcBorders>
              <w:top w:val="single" w:color="000000" w:sz="10" w:space="0"/>
              <w:right w:val="single" w:color="000000" w:sz="10" w:space="0"/>
            </w:tcBorders>
            <w:vAlign w:val="top"/>
          </w:tcPr>
          <w:p w14:paraId="4161E155">
            <w:pPr>
              <w:pStyle w:val="90"/>
              <w:jc w:val="center"/>
              <w:rPr>
                <w:rFonts w:hint="default"/>
                <w:color w:val="auto"/>
                <w:lang w:val="en-US" w:eastAsia="zh-CN"/>
              </w:rPr>
            </w:pPr>
            <w:r>
              <w:rPr>
                <w:rFonts w:hint="default"/>
                <w:color w:val="auto"/>
                <w:lang w:val="en-US" w:eastAsia="zh-CN"/>
              </w:rPr>
              <w:t>说明</w:t>
            </w:r>
          </w:p>
        </w:tc>
      </w:tr>
      <w:tr w14:paraId="3D6C6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jc w:val="center"/>
        </w:trPr>
        <w:tc>
          <w:tcPr>
            <w:tcW w:w="555" w:type="dxa"/>
            <w:tcBorders>
              <w:left w:val="single" w:color="000000" w:sz="10" w:space="0"/>
            </w:tcBorders>
            <w:vAlign w:val="top"/>
          </w:tcPr>
          <w:p w14:paraId="57D18D3C">
            <w:pPr>
              <w:pStyle w:val="90"/>
              <w:rPr>
                <w:rFonts w:hint="default"/>
                <w:color w:val="auto"/>
                <w:lang w:val="en-US" w:eastAsia="zh-CN"/>
              </w:rPr>
            </w:pPr>
            <w:r>
              <w:rPr>
                <w:rFonts w:hint="default"/>
                <w:color w:val="auto"/>
                <w:lang w:val="en-US" w:eastAsia="zh-CN"/>
              </w:rPr>
              <w:t>1</w:t>
            </w:r>
          </w:p>
        </w:tc>
        <w:tc>
          <w:tcPr>
            <w:tcW w:w="3540" w:type="dxa"/>
            <w:vAlign w:val="top"/>
          </w:tcPr>
          <w:p w14:paraId="0D492FDC">
            <w:pPr>
              <w:pStyle w:val="90"/>
              <w:rPr>
                <w:rFonts w:hint="default"/>
                <w:color w:val="auto"/>
                <w:lang w:val="en-US" w:eastAsia="zh-CN"/>
              </w:rPr>
            </w:pPr>
            <w:r>
              <w:rPr>
                <w:rFonts w:hint="default"/>
                <w:color w:val="auto"/>
                <w:lang w:val="en-US" w:eastAsia="zh-CN"/>
              </w:rPr>
              <w:t>尾矿库安全监测设施</w:t>
            </w:r>
          </w:p>
        </w:tc>
        <w:tc>
          <w:tcPr>
            <w:tcW w:w="2372" w:type="dxa"/>
            <w:vAlign w:val="top"/>
          </w:tcPr>
          <w:p w14:paraId="5CF4A94E">
            <w:pPr>
              <w:pStyle w:val="90"/>
              <w:rPr>
                <w:rFonts w:hint="default"/>
                <w:color w:val="auto"/>
                <w:lang w:val="en-US" w:eastAsia="zh-CN"/>
              </w:rPr>
            </w:pPr>
            <w:r>
              <w:rPr>
                <w:rFonts w:hint="default"/>
                <w:color w:val="auto"/>
                <w:lang w:val="en-US" w:eastAsia="zh-CN"/>
              </w:rPr>
              <w:t>位移变形观测设施</w:t>
            </w:r>
          </w:p>
        </w:tc>
        <w:tc>
          <w:tcPr>
            <w:tcW w:w="0" w:type="auto"/>
            <w:vAlign w:val="top"/>
          </w:tcPr>
          <w:p w14:paraId="1AEF4DAD">
            <w:pPr>
              <w:pStyle w:val="90"/>
              <w:jc w:val="center"/>
              <w:rPr>
                <w:rFonts w:hint="default"/>
                <w:color w:val="auto"/>
                <w:lang w:val="en-US" w:eastAsia="zh-CN"/>
              </w:rPr>
            </w:pPr>
            <w:r>
              <w:rPr>
                <w:rFonts w:hint="default"/>
                <w:color w:val="auto"/>
                <w:lang w:val="en-US" w:eastAsia="zh-CN"/>
              </w:rPr>
              <w:t>2.25</w:t>
            </w:r>
          </w:p>
        </w:tc>
        <w:tc>
          <w:tcPr>
            <w:tcW w:w="1116" w:type="dxa"/>
            <w:tcBorders>
              <w:right w:val="single" w:color="000000" w:sz="10" w:space="0"/>
            </w:tcBorders>
            <w:vAlign w:val="top"/>
          </w:tcPr>
          <w:p w14:paraId="14658865">
            <w:pPr>
              <w:pStyle w:val="90"/>
              <w:rPr>
                <w:rFonts w:hint="default"/>
                <w:color w:val="auto"/>
                <w:lang w:val="en-US" w:eastAsia="zh-CN"/>
              </w:rPr>
            </w:pPr>
          </w:p>
        </w:tc>
      </w:tr>
      <w:tr w14:paraId="2C13CE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jc w:val="center"/>
        </w:trPr>
        <w:tc>
          <w:tcPr>
            <w:tcW w:w="555" w:type="dxa"/>
            <w:tcBorders>
              <w:left w:val="single" w:color="000000" w:sz="10" w:space="0"/>
            </w:tcBorders>
            <w:vAlign w:val="top"/>
          </w:tcPr>
          <w:p w14:paraId="3DEC35AE">
            <w:pPr>
              <w:pStyle w:val="90"/>
              <w:rPr>
                <w:rFonts w:hint="default"/>
                <w:color w:val="auto"/>
                <w:lang w:val="en-US" w:eastAsia="zh-CN"/>
              </w:rPr>
            </w:pPr>
            <w:r>
              <w:rPr>
                <w:rFonts w:hint="default"/>
                <w:color w:val="auto"/>
                <w:lang w:val="en-US" w:eastAsia="zh-CN"/>
              </w:rPr>
              <w:t>2</w:t>
            </w:r>
          </w:p>
        </w:tc>
        <w:tc>
          <w:tcPr>
            <w:tcW w:w="3540" w:type="dxa"/>
            <w:vAlign w:val="top"/>
          </w:tcPr>
          <w:p w14:paraId="15ACE945">
            <w:pPr>
              <w:pStyle w:val="90"/>
              <w:rPr>
                <w:rFonts w:hint="default"/>
                <w:color w:val="auto"/>
                <w:lang w:val="en-US" w:eastAsia="zh-CN"/>
              </w:rPr>
            </w:pPr>
            <w:r>
              <w:rPr>
                <w:rFonts w:hint="default"/>
                <w:color w:val="auto"/>
                <w:lang w:val="en-US" w:eastAsia="zh-CN"/>
              </w:rPr>
              <w:t>尾矿库应急救援设备及器材</w:t>
            </w:r>
          </w:p>
        </w:tc>
        <w:tc>
          <w:tcPr>
            <w:tcW w:w="2372" w:type="dxa"/>
            <w:vAlign w:val="top"/>
          </w:tcPr>
          <w:p w14:paraId="7312FA7B">
            <w:pPr>
              <w:pStyle w:val="90"/>
              <w:rPr>
                <w:rFonts w:hint="default"/>
                <w:color w:val="auto"/>
                <w:lang w:val="en-US" w:eastAsia="zh-CN"/>
              </w:rPr>
            </w:pPr>
            <w:r>
              <w:rPr>
                <w:rFonts w:hint="default"/>
                <w:color w:val="auto"/>
                <w:lang w:val="en-US" w:eastAsia="zh-CN"/>
              </w:rPr>
              <w:t>警示牌、通讯设备等</w:t>
            </w:r>
          </w:p>
        </w:tc>
        <w:tc>
          <w:tcPr>
            <w:tcW w:w="0" w:type="auto"/>
            <w:vAlign w:val="top"/>
          </w:tcPr>
          <w:p w14:paraId="0FC399CC">
            <w:pPr>
              <w:pStyle w:val="90"/>
              <w:jc w:val="center"/>
              <w:rPr>
                <w:rFonts w:hint="default"/>
                <w:color w:val="auto"/>
                <w:lang w:val="en-US" w:eastAsia="zh-CN"/>
              </w:rPr>
            </w:pPr>
            <w:r>
              <w:rPr>
                <w:rFonts w:hint="default"/>
                <w:color w:val="auto"/>
                <w:lang w:val="en-US" w:eastAsia="zh-CN"/>
              </w:rPr>
              <w:t>5.00</w:t>
            </w:r>
          </w:p>
        </w:tc>
        <w:tc>
          <w:tcPr>
            <w:tcW w:w="1116" w:type="dxa"/>
            <w:tcBorders>
              <w:right w:val="single" w:color="000000" w:sz="10" w:space="0"/>
            </w:tcBorders>
            <w:vAlign w:val="top"/>
          </w:tcPr>
          <w:p w14:paraId="1AFB76CA">
            <w:pPr>
              <w:pStyle w:val="90"/>
              <w:rPr>
                <w:rFonts w:hint="default"/>
                <w:color w:val="auto"/>
                <w:lang w:val="en-US" w:eastAsia="zh-CN"/>
              </w:rPr>
            </w:pPr>
          </w:p>
        </w:tc>
      </w:tr>
      <w:tr w14:paraId="6922F6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8" w:hRule="atLeast"/>
          <w:jc w:val="center"/>
        </w:trPr>
        <w:tc>
          <w:tcPr>
            <w:tcW w:w="555" w:type="dxa"/>
            <w:tcBorders>
              <w:left w:val="single" w:color="000000" w:sz="10" w:space="0"/>
            </w:tcBorders>
            <w:vAlign w:val="top"/>
          </w:tcPr>
          <w:p w14:paraId="49B47FBB">
            <w:pPr>
              <w:pStyle w:val="90"/>
              <w:rPr>
                <w:rFonts w:hint="default"/>
                <w:color w:val="auto"/>
                <w:lang w:val="en-US" w:eastAsia="zh-CN"/>
              </w:rPr>
            </w:pPr>
            <w:r>
              <w:rPr>
                <w:rFonts w:hint="default"/>
                <w:color w:val="auto"/>
                <w:lang w:val="en-US" w:eastAsia="zh-CN"/>
              </w:rPr>
              <w:t>3</w:t>
            </w:r>
          </w:p>
        </w:tc>
        <w:tc>
          <w:tcPr>
            <w:tcW w:w="3540" w:type="dxa"/>
            <w:vAlign w:val="top"/>
          </w:tcPr>
          <w:p w14:paraId="6D75A1A1">
            <w:pPr>
              <w:pStyle w:val="90"/>
              <w:rPr>
                <w:rFonts w:hint="default"/>
                <w:color w:val="auto"/>
                <w:lang w:val="en-US" w:eastAsia="zh-CN"/>
              </w:rPr>
            </w:pPr>
            <w:r>
              <w:rPr>
                <w:rFonts w:hint="default"/>
                <w:color w:val="auto"/>
                <w:lang w:val="en-US" w:eastAsia="zh-CN"/>
              </w:rPr>
              <w:t>个人安全防护用品</w:t>
            </w:r>
          </w:p>
        </w:tc>
        <w:tc>
          <w:tcPr>
            <w:tcW w:w="2372" w:type="dxa"/>
            <w:vAlign w:val="top"/>
          </w:tcPr>
          <w:p w14:paraId="34C6B7C3">
            <w:pPr>
              <w:pStyle w:val="90"/>
              <w:rPr>
                <w:rFonts w:hint="default"/>
                <w:color w:val="auto"/>
                <w:lang w:val="en-US" w:eastAsia="zh-CN"/>
              </w:rPr>
            </w:pPr>
            <w:r>
              <w:rPr>
                <w:rFonts w:hint="default"/>
                <w:color w:val="auto"/>
                <w:lang w:val="en-US" w:eastAsia="zh-CN"/>
              </w:rPr>
              <w:t>安全帽等劳保用品</w:t>
            </w:r>
          </w:p>
        </w:tc>
        <w:tc>
          <w:tcPr>
            <w:tcW w:w="0" w:type="auto"/>
            <w:vAlign w:val="top"/>
          </w:tcPr>
          <w:p w14:paraId="6338BE98">
            <w:pPr>
              <w:pStyle w:val="90"/>
              <w:jc w:val="center"/>
              <w:rPr>
                <w:rFonts w:hint="default"/>
                <w:color w:val="auto"/>
                <w:lang w:val="en-US" w:eastAsia="zh-CN"/>
              </w:rPr>
            </w:pPr>
            <w:r>
              <w:rPr>
                <w:rFonts w:hint="default"/>
                <w:color w:val="auto"/>
                <w:lang w:val="en-US" w:eastAsia="zh-CN"/>
              </w:rPr>
              <w:t>1.00</w:t>
            </w:r>
          </w:p>
        </w:tc>
        <w:tc>
          <w:tcPr>
            <w:tcW w:w="1116" w:type="dxa"/>
            <w:tcBorders>
              <w:right w:val="single" w:color="000000" w:sz="10" w:space="0"/>
            </w:tcBorders>
            <w:vAlign w:val="top"/>
          </w:tcPr>
          <w:p w14:paraId="1C858046">
            <w:pPr>
              <w:pStyle w:val="90"/>
              <w:rPr>
                <w:rFonts w:hint="default"/>
                <w:color w:val="auto"/>
                <w:lang w:val="en-US" w:eastAsia="zh-CN"/>
              </w:rPr>
            </w:pPr>
          </w:p>
        </w:tc>
      </w:tr>
      <w:tr w14:paraId="31A671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55" w:type="dxa"/>
            <w:tcBorders>
              <w:left w:val="single" w:color="000000" w:sz="10" w:space="0"/>
            </w:tcBorders>
            <w:vAlign w:val="top"/>
          </w:tcPr>
          <w:p w14:paraId="62614270">
            <w:pPr>
              <w:pStyle w:val="90"/>
              <w:rPr>
                <w:rFonts w:hint="default"/>
                <w:color w:val="auto"/>
                <w:lang w:val="en-US" w:eastAsia="zh-CN"/>
              </w:rPr>
            </w:pPr>
            <w:r>
              <w:rPr>
                <w:rFonts w:hint="default"/>
                <w:color w:val="auto"/>
                <w:lang w:val="en-US" w:eastAsia="zh-CN"/>
              </w:rPr>
              <w:t>4</w:t>
            </w:r>
          </w:p>
        </w:tc>
        <w:tc>
          <w:tcPr>
            <w:tcW w:w="3540" w:type="dxa"/>
            <w:vAlign w:val="top"/>
          </w:tcPr>
          <w:p w14:paraId="084D3AEF">
            <w:pPr>
              <w:pStyle w:val="90"/>
              <w:rPr>
                <w:rFonts w:hint="default"/>
                <w:color w:val="auto"/>
                <w:lang w:val="en-US" w:eastAsia="zh-CN"/>
              </w:rPr>
            </w:pPr>
            <w:r>
              <w:rPr>
                <w:rFonts w:hint="default"/>
                <w:color w:val="auto"/>
                <w:lang w:val="en-US" w:eastAsia="zh-CN"/>
              </w:rPr>
              <w:t>尾矿库、交通、电气安全标志</w:t>
            </w:r>
          </w:p>
        </w:tc>
        <w:tc>
          <w:tcPr>
            <w:tcW w:w="2372" w:type="dxa"/>
            <w:vAlign w:val="top"/>
          </w:tcPr>
          <w:p w14:paraId="4D130281">
            <w:pPr>
              <w:pStyle w:val="90"/>
              <w:rPr>
                <w:rFonts w:hint="default"/>
                <w:color w:val="auto"/>
                <w:lang w:val="en-US" w:eastAsia="zh-CN"/>
              </w:rPr>
            </w:pPr>
            <w:r>
              <w:rPr>
                <w:rFonts w:hint="default"/>
                <w:color w:val="auto"/>
                <w:lang w:val="en-US" w:eastAsia="zh-CN"/>
              </w:rPr>
              <w:t>安全标志等</w:t>
            </w:r>
          </w:p>
        </w:tc>
        <w:tc>
          <w:tcPr>
            <w:tcW w:w="0" w:type="auto"/>
            <w:vAlign w:val="top"/>
          </w:tcPr>
          <w:p w14:paraId="29858F1E">
            <w:pPr>
              <w:pStyle w:val="90"/>
              <w:jc w:val="center"/>
              <w:rPr>
                <w:rFonts w:hint="default"/>
                <w:color w:val="auto"/>
                <w:lang w:val="en-US" w:eastAsia="zh-CN"/>
              </w:rPr>
            </w:pPr>
            <w:r>
              <w:rPr>
                <w:rFonts w:hint="default"/>
                <w:color w:val="auto"/>
                <w:lang w:val="en-US" w:eastAsia="zh-CN"/>
              </w:rPr>
              <w:t>1.00</w:t>
            </w:r>
          </w:p>
        </w:tc>
        <w:tc>
          <w:tcPr>
            <w:tcW w:w="1116" w:type="dxa"/>
            <w:tcBorders>
              <w:right w:val="single" w:color="000000" w:sz="10" w:space="0"/>
            </w:tcBorders>
            <w:vAlign w:val="top"/>
          </w:tcPr>
          <w:p w14:paraId="720C0BC6">
            <w:pPr>
              <w:pStyle w:val="90"/>
              <w:rPr>
                <w:rFonts w:hint="default"/>
                <w:color w:val="auto"/>
                <w:lang w:val="en-US" w:eastAsia="zh-CN"/>
              </w:rPr>
            </w:pPr>
          </w:p>
        </w:tc>
      </w:tr>
      <w:tr w14:paraId="7CECBD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8" w:hRule="atLeast"/>
          <w:jc w:val="center"/>
        </w:trPr>
        <w:tc>
          <w:tcPr>
            <w:tcW w:w="555" w:type="dxa"/>
            <w:tcBorders>
              <w:left w:val="single" w:color="000000" w:sz="10" w:space="0"/>
            </w:tcBorders>
            <w:vAlign w:val="top"/>
          </w:tcPr>
          <w:p w14:paraId="64DC3502">
            <w:pPr>
              <w:pStyle w:val="90"/>
              <w:rPr>
                <w:rFonts w:hint="default"/>
                <w:color w:val="auto"/>
                <w:lang w:val="en-US" w:eastAsia="zh-CN"/>
              </w:rPr>
            </w:pPr>
            <w:r>
              <w:rPr>
                <w:rFonts w:hint="default"/>
                <w:color w:val="auto"/>
                <w:lang w:val="en-US" w:eastAsia="zh-CN"/>
              </w:rPr>
              <w:t>5</w:t>
            </w:r>
          </w:p>
        </w:tc>
        <w:tc>
          <w:tcPr>
            <w:tcW w:w="3540" w:type="dxa"/>
            <w:vAlign w:val="top"/>
          </w:tcPr>
          <w:p w14:paraId="2D1C1E0A">
            <w:pPr>
              <w:pStyle w:val="90"/>
              <w:rPr>
                <w:rFonts w:hint="default"/>
                <w:color w:val="auto"/>
                <w:lang w:val="en-US" w:eastAsia="zh-CN"/>
              </w:rPr>
            </w:pPr>
            <w:r>
              <w:rPr>
                <w:rFonts w:hint="default"/>
                <w:color w:val="auto"/>
                <w:lang w:val="en-US" w:eastAsia="zh-CN"/>
              </w:rPr>
              <w:t>其他设施</w:t>
            </w:r>
          </w:p>
        </w:tc>
        <w:tc>
          <w:tcPr>
            <w:tcW w:w="2372" w:type="dxa"/>
            <w:vAlign w:val="top"/>
          </w:tcPr>
          <w:p w14:paraId="482D0B2A">
            <w:pPr>
              <w:pStyle w:val="90"/>
              <w:rPr>
                <w:rFonts w:hint="default"/>
                <w:color w:val="auto"/>
                <w:lang w:val="en-US" w:eastAsia="zh-CN"/>
              </w:rPr>
            </w:pPr>
          </w:p>
        </w:tc>
        <w:tc>
          <w:tcPr>
            <w:tcW w:w="0" w:type="auto"/>
            <w:vAlign w:val="top"/>
          </w:tcPr>
          <w:p w14:paraId="47B42BC2">
            <w:pPr>
              <w:pStyle w:val="90"/>
              <w:jc w:val="center"/>
              <w:rPr>
                <w:rFonts w:hint="default"/>
                <w:color w:val="auto"/>
                <w:lang w:val="en-US" w:eastAsia="zh-CN"/>
              </w:rPr>
            </w:pPr>
            <w:r>
              <w:rPr>
                <w:rFonts w:hint="default"/>
                <w:color w:val="auto"/>
                <w:lang w:val="en-US" w:eastAsia="zh-CN"/>
              </w:rPr>
              <w:t>2.00</w:t>
            </w:r>
          </w:p>
        </w:tc>
        <w:tc>
          <w:tcPr>
            <w:tcW w:w="1116" w:type="dxa"/>
            <w:tcBorders>
              <w:right w:val="single" w:color="000000" w:sz="10" w:space="0"/>
            </w:tcBorders>
            <w:vAlign w:val="top"/>
          </w:tcPr>
          <w:p w14:paraId="311A220F">
            <w:pPr>
              <w:pStyle w:val="90"/>
              <w:rPr>
                <w:rFonts w:hint="default"/>
                <w:color w:val="auto"/>
                <w:lang w:val="en-US" w:eastAsia="zh-CN"/>
              </w:rPr>
            </w:pPr>
          </w:p>
        </w:tc>
      </w:tr>
      <w:tr w14:paraId="51E9B5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jc w:val="center"/>
        </w:trPr>
        <w:tc>
          <w:tcPr>
            <w:tcW w:w="555" w:type="dxa"/>
            <w:tcBorders>
              <w:left w:val="single" w:color="000000" w:sz="10" w:space="0"/>
              <w:bottom w:val="single" w:color="000000" w:sz="10" w:space="0"/>
            </w:tcBorders>
            <w:vAlign w:val="top"/>
          </w:tcPr>
          <w:p w14:paraId="76F8D247">
            <w:pPr>
              <w:pStyle w:val="90"/>
              <w:rPr>
                <w:rFonts w:hint="default"/>
                <w:color w:val="auto"/>
                <w:lang w:val="en-US" w:eastAsia="zh-CN"/>
              </w:rPr>
            </w:pPr>
            <w:r>
              <w:rPr>
                <w:rFonts w:hint="default"/>
                <w:color w:val="auto"/>
                <w:lang w:val="en-US" w:eastAsia="zh-CN"/>
              </w:rPr>
              <w:t>6</w:t>
            </w:r>
          </w:p>
        </w:tc>
        <w:tc>
          <w:tcPr>
            <w:tcW w:w="3540" w:type="dxa"/>
            <w:tcBorders>
              <w:bottom w:val="single" w:color="000000" w:sz="10" w:space="0"/>
            </w:tcBorders>
            <w:vAlign w:val="top"/>
          </w:tcPr>
          <w:p w14:paraId="0662FDF7">
            <w:pPr>
              <w:pStyle w:val="90"/>
              <w:rPr>
                <w:rFonts w:hint="default"/>
                <w:color w:val="auto"/>
                <w:lang w:val="en-US" w:eastAsia="zh-CN"/>
              </w:rPr>
            </w:pPr>
            <w:r>
              <w:rPr>
                <w:rFonts w:hint="default"/>
                <w:color w:val="auto"/>
                <w:lang w:val="en-US" w:eastAsia="zh-CN"/>
              </w:rPr>
              <w:t>合计</w:t>
            </w:r>
          </w:p>
        </w:tc>
        <w:tc>
          <w:tcPr>
            <w:tcW w:w="2372" w:type="dxa"/>
            <w:tcBorders>
              <w:bottom w:val="single" w:color="000000" w:sz="10" w:space="0"/>
            </w:tcBorders>
            <w:vAlign w:val="top"/>
          </w:tcPr>
          <w:p w14:paraId="29A1A81A">
            <w:pPr>
              <w:pStyle w:val="90"/>
              <w:rPr>
                <w:rFonts w:hint="default"/>
                <w:color w:val="auto"/>
                <w:lang w:val="en-US" w:eastAsia="zh-CN"/>
              </w:rPr>
            </w:pPr>
          </w:p>
        </w:tc>
        <w:tc>
          <w:tcPr>
            <w:tcW w:w="0" w:type="auto"/>
            <w:tcBorders>
              <w:bottom w:val="single" w:color="000000" w:sz="10" w:space="0"/>
            </w:tcBorders>
            <w:vAlign w:val="top"/>
          </w:tcPr>
          <w:p w14:paraId="1C489280">
            <w:pPr>
              <w:pStyle w:val="90"/>
              <w:jc w:val="center"/>
              <w:rPr>
                <w:rFonts w:hint="default"/>
                <w:color w:val="auto"/>
                <w:lang w:val="en-US" w:eastAsia="zh-CN"/>
              </w:rPr>
            </w:pPr>
            <w:r>
              <w:rPr>
                <w:rFonts w:hint="default"/>
                <w:color w:val="auto"/>
                <w:lang w:val="en-US" w:eastAsia="zh-CN"/>
              </w:rPr>
              <w:t>11.25</w:t>
            </w:r>
          </w:p>
        </w:tc>
        <w:tc>
          <w:tcPr>
            <w:tcW w:w="1116" w:type="dxa"/>
            <w:tcBorders>
              <w:bottom w:val="single" w:color="000000" w:sz="10" w:space="0"/>
              <w:right w:val="single" w:color="000000" w:sz="10" w:space="0"/>
            </w:tcBorders>
            <w:vAlign w:val="top"/>
          </w:tcPr>
          <w:p w14:paraId="22F43CC3">
            <w:pPr>
              <w:pStyle w:val="90"/>
              <w:rPr>
                <w:rFonts w:hint="default"/>
                <w:color w:val="auto"/>
                <w:lang w:val="en-US" w:eastAsia="zh-CN"/>
              </w:rPr>
            </w:pPr>
          </w:p>
        </w:tc>
      </w:tr>
    </w:tbl>
    <w:p w14:paraId="23AE411B">
      <w:pPr>
        <w:pStyle w:val="90"/>
        <w:rPr>
          <w:rFonts w:hint="default"/>
          <w:color w:val="auto"/>
          <w:lang w:val="en-US" w:eastAsia="zh-CN"/>
        </w:rPr>
      </w:pPr>
    </w:p>
    <w:p w14:paraId="72F89A75">
      <w:pPr>
        <w:pStyle w:val="4"/>
        <w:bidi w:val="0"/>
        <w:rPr>
          <w:color w:val="auto"/>
        </w:rPr>
      </w:pPr>
      <w:bookmarkStart w:id="317" w:name="_Toc4328"/>
      <w:r>
        <w:rPr>
          <w:rFonts w:hint="eastAsia"/>
          <w:color w:val="auto"/>
          <w:lang w:val="en-US" w:eastAsia="zh-CN"/>
        </w:rPr>
        <w:t>闭库工程施工情况</w:t>
      </w:r>
      <w:bookmarkEnd w:id="317"/>
    </w:p>
    <w:p w14:paraId="3C8D82C4">
      <w:pPr>
        <w:bidi w:val="0"/>
        <w:rPr>
          <w:rFonts w:hint="default"/>
          <w:color w:val="auto"/>
          <w:lang w:val="en-US" w:eastAsia="zh-CN"/>
        </w:rPr>
      </w:pPr>
      <w:r>
        <w:rPr>
          <w:rFonts w:hint="eastAsia"/>
          <w:color w:val="auto"/>
          <w:lang w:val="en-US" w:eastAsia="zh-CN"/>
        </w:rPr>
        <w:t>闭库工程施工单位：亮云建设集团有限公司，监理单位：</w:t>
      </w:r>
      <w:r>
        <w:rPr>
          <w:rFonts w:hint="eastAsia"/>
          <w:color w:val="auto"/>
          <w:lang w:eastAsia="zh-CN"/>
        </w:rPr>
        <w:t>中鸿荣造项目管理有限公司</w:t>
      </w:r>
      <w:r>
        <w:rPr>
          <w:rFonts w:hint="eastAsia"/>
          <w:color w:val="auto"/>
          <w:lang w:val="en-US" w:eastAsia="zh-CN"/>
        </w:rPr>
        <w:t>，质量检测单位：</w:t>
      </w:r>
      <w:r>
        <w:rPr>
          <w:rFonts w:hint="eastAsia"/>
          <w:color w:val="auto"/>
          <w:lang w:val="zh-CN" w:eastAsia="zh-CN"/>
        </w:rPr>
        <w:t>云南省路桥股份有限公司。</w:t>
      </w:r>
    </w:p>
    <w:p w14:paraId="4E7F5E0A">
      <w:pPr>
        <w:adjustRightInd w:val="0"/>
        <w:snapToGrid w:val="0"/>
        <w:ind w:firstLine="560"/>
        <w:rPr>
          <w:rFonts w:hint="default" w:ascii="Times New Roman" w:hAnsi="Times New Roman" w:cs="Times New Roman" w:eastAsiaTheme="minorEastAsia"/>
          <w:snapToGrid w:val="0"/>
          <w:color w:val="auto"/>
          <w:sz w:val="28"/>
          <w:szCs w:val="28"/>
          <w:highlight w:val="none"/>
          <w:lang w:val="en-US" w:eastAsia="zh-CN" w:bidi="ar-SA"/>
        </w:rPr>
      </w:pPr>
      <w:r>
        <w:rPr>
          <w:rFonts w:hint="eastAsia" w:ascii="Times New Roman" w:hAnsi="Times New Roman" w:cs="Times New Roman" w:eastAsiaTheme="minorEastAsia"/>
          <w:snapToGrid w:val="0"/>
          <w:color w:val="auto"/>
          <w:sz w:val="28"/>
          <w:szCs w:val="28"/>
          <w:highlight w:val="none"/>
          <w:lang w:val="en-US" w:eastAsia="zh-CN" w:bidi="ar-SA"/>
        </w:rPr>
        <w:t>依据施工单位</w:t>
      </w:r>
      <w:r>
        <w:rPr>
          <w:rFonts w:hint="eastAsia" w:cs="Times New Roman" w:eastAsiaTheme="minorEastAsia"/>
          <w:snapToGrid w:val="0"/>
          <w:color w:val="auto"/>
          <w:sz w:val="28"/>
          <w:szCs w:val="28"/>
          <w:highlight w:val="none"/>
          <w:lang w:val="en-US" w:eastAsia="zh-CN" w:bidi="ar-SA"/>
        </w:rPr>
        <w:t>亮云建设集团有限公司</w:t>
      </w:r>
      <w:r>
        <w:rPr>
          <w:rFonts w:hint="eastAsia" w:ascii="Times New Roman" w:hAnsi="Times New Roman" w:cs="Times New Roman" w:eastAsiaTheme="minorEastAsia"/>
          <w:snapToGrid w:val="0"/>
          <w:color w:val="auto"/>
          <w:sz w:val="28"/>
          <w:szCs w:val="28"/>
          <w:highlight w:val="none"/>
          <w:lang w:val="en-US" w:eastAsia="zh-CN" w:bidi="ar-SA"/>
        </w:rPr>
        <w:t>提供的《</w:t>
      </w:r>
      <w:r>
        <w:rPr>
          <w:rFonts w:hint="eastAsia" w:cs="Times New Roman" w:eastAsiaTheme="minorEastAsia"/>
          <w:snapToGrid w:val="0"/>
          <w:color w:val="auto"/>
          <w:sz w:val="28"/>
          <w:szCs w:val="28"/>
          <w:highlight w:val="none"/>
          <w:lang w:val="en-US" w:eastAsia="zh-CN" w:bidi="ar-SA"/>
        </w:rPr>
        <w:t>元谋县大远矿业有限公司红坡铁矿选厂尾矿库</w:t>
      </w:r>
      <w:r>
        <w:rPr>
          <w:rFonts w:hint="eastAsia" w:ascii="Times New Roman" w:hAnsi="Times New Roman" w:cs="Times New Roman" w:eastAsiaTheme="minorEastAsia"/>
          <w:snapToGrid w:val="0"/>
          <w:color w:val="auto"/>
          <w:sz w:val="28"/>
          <w:szCs w:val="28"/>
          <w:highlight w:val="none"/>
          <w:lang w:val="en-US" w:eastAsia="zh-CN" w:bidi="ar-SA"/>
        </w:rPr>
        <w:t>闭库工程</w:t>
      </w:r>
      <w:r>
        <w:rPr>
          <w:rFonts w:hint="eastAsia" w:cs="Times New Roman" w:eastAsiaTheme="minorEastAsia"/>
          <w:snapToGrid w:val="0"/>
          <w:color w:val="auto"/>
          <w:sz w:val="28"/>
          <w:szCs w:val="28"/>
          <w:highlight w:val="none"/>
          <w:lang w:val="en-US" w:eastAsia="zh-CN" w:bidi="ar-SA"/>
        </w:rPr>
        <w:t>施工总结</w:t>
      </w:r>
      <w:r>
        <w:rPr>
          <w:rFonts w:hint="eastAsia" w:ascii="Times New Roman" w:hAnsi="Times New Roman" w:cs="Times New Roman" w:eastAsiaTheme="minorEastAsia"/>
          <w:snapToGrid w:val="0"/>
          <w:color w:val="auto"/>
          <w:sz w:val="28"/>
          <w:szCs w:val="28"/>
          <w:highlight w:val="none"/>
          <w:lang w:val="en-US" w:eastAsia="zh-CN" w:bidi="ar-SA"/>
        </w:rPr>
        <w:t>报告》</w:t>
      </w:r>
      <w:r>
        <w:rPr>
          <w:rFonts w:hint="eastAsia" w:cs="Times New Roman" w:eastAsiaTheme="minorEastAsia"/>
          <w:snapToGrid w:val="0"/>
          <w:color w:val="auto"/>
          <w:sz w:val="28"/>
          <w:szCs w:val="28"/>
          <w:highlight w:val="none"/>
          <w:lang w:val="en-US" w:eastAsia="zh-CN" w:bidi="ar-SA"/>
        </w:rPr>
        <w:t>，</w:t>
      </w:r>
      <w:r>
        <w:rPr>
          <w:rFonts w:hint="eastAsia" w:ascii="Times New Roman" w:hAnsi="Times New Roman" w:cs="Times New Roman" w:eastAsiaTheme="minorEastAsia"/>
          <w:snapToGrid w:val="0"/>
          <w:color w:val="auto"/>
          <w:sz w:val="28"/>
          <w:szCs w:val="28"/>
          <w:highlight w:val="none"/>
          <w:lang w:val="en-US" w:eastAsia="zh-CN" w:bidi="ar-SA"/>
        </w:rPr>
        <w:t>闭库工程于202</w:t>
      </w:r>
      <w:r>
        <w:rPr>
          <w:rFonts w:hint="eastAsia" w:cs="Times New Roman" w:eastAsiaTheme="minorEastAsia"/>
          <w:snapToGrid w:val="0"/>
          <w:color w:val="auto"/>
          <w:sz w:val="28"/>
          <w:szCs w:val="28"/>
          <w:highlight w:val="none"/>
          <w:lang w:val="en-US" w:eastAsia="zh-CN" w:bidi="ar-SA"/>
        </w:rPr>
        <w:t>3</w:t>
      </w:r>
      <w:r>
        <w:rPr>
          <w:rFonts w:hint="eastAsia" w:ascii="Times New Roman" w:hAnsi="Times New Roman" w:cs="Times New Roman" w:eastAsiaTheme="minorEastAsia"/>
          <w:snapToGrid w:val="0"/>
          <w:color w:val="auto"/>
          <w:sz w:val="28"/>
          <w:szCs w:val="28"/>
          <w:highlight w:val="none"/>
          <w:lang w:val="en-US" w:eastAsia="zh-CN" w:bidi="ar-SA"/>
        </w:rPr>
        <w:t>年</w:t>
      </w:r>
      <w:r>
        <w:rPr>
          <w:rFonts w:hint="eastAsia" w:cs="Times New Roman" w:eastAsiaTheme="minorEastAsia"/>
          <w:snapToGrid w:val="0"/>
          <w:color w:val="auto"/>
          <w:sz w:val="28"/>
          <w:szCs w:val="28"/>
          <w:highlight w:val="none"/>
          <w:lang w:val="en-US" w:eastAsia="zh-CN" w:bidi="ar-SA"/>
        </w:rPr>
        <w:t>7</w:t>
      </w:r>
      <w:r>
        <w:rPr>
          <w:rFonts w:hint="eastAsia" w:ascii="Times New Roman" w:hAnsi="Times New Roman" w:cs="Times New Roman" w:eastAsiaTheme="minorEastAsia"/>
          <w:snapToGrid w:val="0"/>
          <w:color w:val="auto"/>
          <w:sz w:val="28"/>
          <w:szCs w:val="28"/>
          <w:highlight w:val="none"/>
          <w:lang w:val="en-US" w:eastAsia="zh-CN" w:bidi="ar-SA"/>
        </w:rPr>
        <w:t>月</w:t>
      </w:r>
      <w:r>
        <w:rPr>
          <w:rFonts w:hint="eastAsia" w:cs="Times New Roman" w:eastAsiaTheme="minorEastAsia"/>
          <w:snapToGrid w:val="0"/>
          <w:color w:val="auto"/>
          <w:sz w:val="28"/>
          <w:szCs w:val="28"/>
          <w:highlight w:val="none"/>
          <w:lang w:val="en-US" w:eastAsia="zh-CN" w:bidi="ar-SA"/>
        </w:rPr>
        <w:t>6</w:t>
      </w:r>
      <w:r>
        <w:rPr>
          <w:rFonts w:hint="eastAsia" w:ascii="Times New Roman" w:hAnsi="Times New Roman" w:cs="Times New Roman" w:eastAsiaTheme="minorEastAsia"/>
          <w:snapToGrid w:val="0"/>
          <w:color w:val="auto"/>
          <w:sz w:val="28"/>
          <w:szCs w:val="28"/>
          <w:highlight w:val="none"/>
          <w:lang w:val="en-US" w:eastAsia="zh-CN" w:bidi="ar-SA"/>
        </w:rPr>
        <w:t>日开工，202</w:t>
      </w:r>
      <w:r>
        <w:rPr>
          <w:rFonts w:hint="eastAsia" w:cs="Times New Roman" w:eastAsiaTheme="minorEastAsia"/>
          <w:snapToGrid w:val="0"/>
          <w:color w:val="auto"/>
          <w:sz w:val="28"/>
          <w:szCs w:val="28"/>
          <w:highlight w:val="none"/>
          <w:lang w:val="en-US" w:eastAsia="zh-CN" w:bidi="ar-SA"/>
        </w:rPr>
        <w:t>4</w:t>
      </w:r>
      <w:r>
        <w:rPr>
          <w:rFonts w:hint="eastAsia" w:ascii="Times New Roman" w:hAnsi="Times New Roman" w:cs="Times New Roman" w:eastAsiaTheme="minorEastAsia"/>
          <w:snapToGrid w:val="0"/>
          <w:color w:val="auto"/>
          <w:sz w:val="28"/>
          <w:szCs w:val="28"/>
          <w:highlight w:val="none"/>
          <w:lang w:val="en-US" w:eastAsia="zh-CN" w:bidi="ar-SA"/>
        </w:rPr>
        <w:t>年1月</w:t>
      </w:r>
      <w:r>
        <w:rPr>
          <w:rFonts w:hint="eastAsia" w:cs="Times New Roman" w:eastAsiaTheme="minorEastAsia"/>
          <w:snapToGrid w:val="0"/>
          <w:color w:val="auto"/>
          <w:sz w:val="28"/>
          <w:szCs w:val="28"/>
          <w:highlight w:val="none"/>
          <w:lang w:val="en-US" w:eastAsia="zh-CN" w:bidi="ar-SA"/>
        </w:rPr>
        <w:t>6</w:t>
      </w:r>
      <w:r>
        <w:rPr>
          <w:rFonts w:hint="eastAsia" w:ascii="Times New Roman" w:hAnsi="Times New Roman" w:cs="Times New Roman" w:eastAsiaTheme="minorEastAsia"/>
          <w:snapToGrid w:val="0"/>
          <w:color w:val="auto"/>
          <w:sz w:val="28"/>
          <w:szCs w:val="28"/>
          <w:highlight w:val="none"/>
          <w:lang w:val="en-US" w:eastAsia="zh-CN" w:bidi="ar-SA"/>
        </w:rPr>
        <w:t>日竣工。</w:t>
      </w:r>
    </w:p>
    <w:p w14:paraId="48D56787">
      <w:pPr>
        <w:pStyle w:val="5"/>
        <w:bidi w:val="0"/>
        <w:rPr>
          <w:rFonts w:hint="eastAsia" w:eastAsiaTheme="minorEastAsia"/>
          <w:color w:val="auto"/>
          <w:szCs w:val="28"/>
          <w:lang w:val="zh-CN"/>
        </w:rPr>
      </w:pPr>
      <w:bookmarkStart w:id="318" w:name="_Toc17133"/>
      <w:r>
        <w:rPr>
          <w:rFonts w:hint="eastAsia"/>
          <w:color w:val="auto"/>
          <w:lang w:val="zh-CN" w:eastAsia="zh-CN"/>
        </w:rPr>
        <w:t>工程</w:t>
      </w:r>
      <w:r>
        <w:rPr>
          <w:rFonts w:hint="eastAsia"/>
          <w:color w:val="auto"/>
          <w:lang w:val="zh-CN"/>
        </w:rPr>
        <w:t>具体</w:t>
      </w:r>
      <w:r>
        <w:rPr>
          <w:rFonts w:hint="eastAsia"/>
          <w:color w:val="auto"/>
          <w:lang w:val="zh-CN" w:eastAsia="zh-CN"/>
        </w:rPr>
        <w:t>施工</w:t>
      </w:r>
      <w:bookmarkEnd w:id="318"/>
    </w:p>
    <w:p w14:paraId="03BFCB18">
      <w:pPr>
        <w:bidi w:val="0"/>
        <w:rPr>
          <w:rFonts w:hint="eastAsia"/>
          <w:color w:val="auto"/>
          <w:vertAlign w:val="superscript"/>
          <w:lang w:val="en-US" w:eastAsia="zh-CN"/>
        </w:rPr>
      </w:pPr>
      <w:r>
        <w:rPr>
          <w:rFonts w:hint="eastAsia"/>
          <w:color w:val="auto"/>
          <w:lang w:val="en-US" w:eastAsia="zh-CN"/>
        </w:rPr>
        <w:t>基础工程:尾矿开挖 60000</w:t>
      </w:r>
      <w:r>
        <w:rPr>
          <w:rFonts w:hint="eastAsia"/>
          <w:color w:val="auto"/>
          <w:vertAlign w:val="baseline"/>
          <w:lang w:val="en-US" w:eastAsia="zh-CN"/>
        </w:rPr>
        <w:t>m</w:t>
      </w:r>
      <w:r>
        <w:rPr>
          <w:rFonts w:hint="eastAsia"/>
          <w:color w:val="auto"/>
          <w:vertAlign w:val="superscript"/>
          <w:lang w:val="en-US" w:eastAsia="zh-CN"/>
        </w:rPr>
        <w:t>2</w:t>
      </w:r>
      <w:r>
        <w:rPr>
          <w:rFonts w:hint="eastAsia"/>
          <w:color w:val="auto"/>
          <w:lang w:val="en-US" w:eastAsia="zh-CN"/>
        </w:rPr>
        <w:t>，尾矿回填60000</w:t>
      </w:r>
      <w:r>
        <w:rPr>
          <w:rFonts w:hint="eastAsia"/>
          <w:color w:val="auto"/>
          <w:vertAlign w:val="baseline"/>
          <w:lang w:val="en-US" w:eastAsia="zh-CN"/>
        </w:rPr>
        <w:t>m</w:t>
      </w:r>
      <w:r>
        <w:rPr>
          <w:rFonts w:hint="eastAsia"/>
          <w:color w:val="auto"/>
          <w:vertAlign w:val="superscript"/>
          <w:lang w:val="en-US" w:eastAsia="zh-CN"/>
        </w:rPr>
        <w:t>2</w:t>
      </w:r>
      <w:r>
        <w:rPr>
          <w:rFonts w:hint="eastAsia"/>
          <w:color w:val="auto"/>
          <w:lang w:val="en-US" w:eastAsia="zh-CN"/>
        </w:rPr>
        <w:t>、库内水处理 8000</w:t>
      </w:r>
      <w:r>
        <w:rPr>
          <w:rFonts w:hint="eastAsia"/>
          <w:color w:val="auto"/>
          <w:vertAlign w:val="baseline"/>
          <w:lang w:val="en-US" w:eastAsia="zh-CN"/>
        </w:rPr>
        <w:t>m</w:t>
      </w:r>
      <w:r>
        <w:rPr>
          <w:rFonts w:hint="eastAsia"/>
          <w:color w:val="auto"/>
          <w:vertAlign w:val="superscript"/>
          <w:lang w:val="en-US" w:eastAsia="zh-CN"/>
        </w:rPr>
        <w:t>2</w:t>
      </w:r>
    </w:p>
    <w:p w14:paraId="1FA97DE3">
      <w:pPr>
        <w:bidi w:val="0"/>
        <w:rPr>
          <w:rFonts w:hint="eastAsia"/>
          <w:color w:val="auto"/>
          <w:lang w:val="en-US" w:eastAsia="zh-CN"/>
        </w:rPr>
      </w:pPr>
      <w:r>
        <w:rPr>
          <w:rFonts w:hint="eastAsia"/>
          <w:color w:val="auto"/>
          <w:lang w:val="en-US" w:eastAsia="zh-CN"/>
        </w:rPr>
        <w:t>结构层:库面覆土500mm厚种植土，坡面覆土200mm厚种植土，28755.24</w:t>
      </w:r>
      <w:r>
        <w:rPr>
          <w:rFonts w:hint="eastAsia"/>
          <w:color w:val="auto"/>
          <w:vertAlign w:val="baseline"/>
          <w:lang w:val="en-US" w:eastAsia="zh-CN"/>
        </w:rPr>
        <w:t>m</w:t>
      </w:r>
      <w:r>
        <w:rPr>
          <w:rFonts w:hint="eastAsia"/>
          <w:color w:val="auto"/>
          <w:vertAlign w:val="superscript"/>
          <w:lang w:val="en-US" w:eastAsia="zh-CN"/>
        </w:rPr>
        <w:t>2</w:t>
      </w:r>
      <w:r>
        <w:rPr>
          <w:rFonts w:hint="eastAsia"/>
          <w:color w:val="auto"/>
          <w:lang w:val="en-US" w:eastAsia="zh-CN"/>
        </w:rPr>
        <w:t>，播撒黄茅、狗牙根草籽 57510.47</w:t>
      </w:r>
      <w:r>
        <w:rPr>
          <w:rFonts w:hint="eastAsia"/>
          <w:color w:val="auto"/>
          <w:vertAlign w:val="baseline"/>
          <w:lang w:val="en-US" w:eastAsia="zh-CN"/>
        </w:rPr>
        <w:t>m</w:t>
      </w:r>
      <w:r>
        <w:rPr>
          <w:rFonts w:hint="eastAsia"/>
          <w:color w:val="auto"/>
          <w:vertAlign w:val="superscript"/>
          <w:lang w:val="en-US" w:eastAsia="zh-CN"/>
        </w:rPr>
        <w:t>2</w:t>
      </w:r>
      <w:r>
        <w:rPr>
          <w:rFonts w:hint="eastAsia"/>
          <w:color w:val="auto"/>
          <w:lang w:val="en-US" w:eastAsia="zh-CN"/>
        </w:rPr>
        <w:t>。</w:t>
      </w:r>
    </w:p>
    <w:p w14:paraId="1080823B">
      <w:pPr>
        <w:bidi w:val="0"/>
        <w:rPr>
          <w:rFonts w:hint="eastAsia"/>
          <w:color w:val="auto"/>
          <w:lang w:val="en-US" w:eastAsia="zh-CN"/>
        </w:rPr>
      </w:pPr>
      <w:r>
        <w:rPr>
          <w:rFonts w:hint="eastAsia"/>
          <w:color w:val="auto"/>
          <w:lang w:val="en-US" w:eastAsia="zh-CN"/>
        </w:rPr>
        <w:t>其它工程:(1)、m7.5浆砌石截洪沟,净高1.2m,净宽 1.2m,长 564.44m共约1071.65方;截洪沟1:2水泥砂浆抹面(20mm厚)41方;(2)、m10浆砌石尾库挡水坝，顶宽1.5m，坝高3m，共约460.54方;(3)、砖砌结构库面排水沟，净高0.8m，净宽0.8m，净宽0.24m，长239m;(4)、砖砌结构库面雨水沟，净高0.4m，净宽0.4m，净宽0.24m，1:2水泥砂浆抹面，长 1171.5m;(5)、库内排水斜槽进水和排水暗涵出口采用 C25 混凝土封堵(进出口封堵长度 5m);(6)、护脚末端新建 4m*3m*2m 集水池一座。</w:t>
      </w:r>
    </w:p>
    <w:p w14:paraId="3F4813C7">
      <w:pPr>
        <w:bidi w:val="0"/>
        <w:rPr>
          <w:rFonts w:hint="eastAsia"/>
          <w:color w:val="auto"/>
          <w:lang w:val="en-US" w:eastAsia="zh-CN"/>
        </w:rPr>
      </w:pPr>
      <w:r>
        <w:rPr>
          <w:rFonts w:hint="eastAsia"/>
          <w:color w:val="auto"/>
          <w:lang w:val="en-US" w:eastAsia="zh-CN"/>
        </w:rPr>
        <w:t>监测工程:a.人工位移监测设施15个，b.警示标志8个，c.地下水监测设施2个</w:t>
      </w:r>
    </w:p>
    <w:p w14:paraId="4BCAD458">
      <w:pPr>
        <w:pStyle w:val="5"/>
        <w:bidi w:val="0"/>
        <w:rPr>
          <w:rFonts w:hint="eastAsia"/>
          <w:color w:val="auto"/>
        </w:rPr>
      </w:pPr>
      <w:bookmarkStart w:id="319" w:name="_Toc15344"/>
      <w:r>
        <w:rPr>
          <w:rFonts w:hint="eastAsia"/>
          <w:color w:val="auto"/>
          <w:lang w:val="en-US" w:eastAsia="zh-CN"/>
        </w:rPr>
        <w:t>工程施工管理组织、质量控制</w:t>
      </w:r>
      <w:bookmarkEnd w:id="319"/>
    </w:p>
    <w:p w14:paraId="552E4303">
      <w:pPr>
        <w:adjustRightInd w:val="0"/>
        <w:snapToGrid w:val="0"/>
        <w:ind w:firstLine="560"/>
        <w:rPr>
          <w:rFonts w:hint="eastAsia" w:eastAsiaTheme="minorEastAsia"/>
          <w:color w:val="auto"/>
          <w:sz w:val="28"/>
          <w:szCs w:val="28"/>
          <w:lang w:eastAsia="zh-CN"/>
        </w:rPr>
      </w:pPr>
      <w:r>
        <w:rPr>
          <w:rFonts w:hint="eastAsia" w:eastAsiaTheme="minorEastAsia"/>
          <w:color w:val="auto"/>
          <w:sz w:val="28"/>
          <w:szCs w:val="28"/>
          <w:lang w:val="en-US" w:eastAsia="zh-CN"/>
        </w:rPr>
        <w:t>施工单位</w:t>
      </w:r>
      <w:r>
        <w:rPr>
          <w:rFonts w:hint="eastAsia" w:eastAsiaTheme="minorEastAsia"/>
          <w:color w:val="auto"/>
          <w:sz w:val="28"/>
          <w:szCs w:val="28"/>
        </w:rPr>
        <w:t>组建了具有类似工程建设施工经验丰富的项目班子进行现场项目负责管理</w:t>
      </w:r>
      <w:r>
        <w:rPr>
          <w:rFonts w:hint="eastAsia" w:eastAsiaTheme="minorEastAsia"/>
          <w:color w:val="auto"/>
          <w:sz w:val="28"/>
          <w:szCs w:val="28"/>
          <w:lang w:eastAsia="zh-CN"/>
        </w:rPr>
        <w:t>。</w:t>
      </w:r>
      <w:r>
        <w:rPr>
          <w:rFonts w:hint="eastAsia" w:eastAsiaTheme="minorEastAsia"/>
          <w:color w:val="auto"/>
          <w:sz w:val="28"/>
          <w:szCs w:val="28"/>
        </w:rPr>
        <w:t>结合对设计图纸及相关技术文件的认真审阅，完善施工方案</w:t>
      </w:r>
      <w:r>
        <w:rPr>
          <w:rFonts w:hint="eastAsia" w:eastAsiaTheme="minorEastAsia"/>
          <w:color w:val="auto"/>
          <w:sz w:val="28"/>
          <w:szCs w:val="28"/>
          <w:lang w:eastAsia="zh-CN"/>
        </w:rPr>
        <w:t>，</w:t>
      </w:r>
      <w:r>
        <w:rPr>
          <w:rFonts w:hint="eastAsia" w:eastAsiaTheme="minorEastAsia"/>
          <w:color w:val="auto"/>
          <w:sz w:val="28"/>
          <w:szCs w:val="28"/>
        </w:rPr>
        <w:t>加强班组自检自查制度，工程施工过程中，各分管工种负责人督促班组做好自检工作，确认合格后，方可进行下道工序的作业。</w:t>
      </w:r>
    </w:p>
    <w:p w14:paraId="0F6A3776">
      <w:pPr>
        <w:pStyle w:val="5"/>
        <w:bidi w:val="0"/>
        <w:rPr>
          <w:rFonts w:hint="eastAsia" w:eastAsiaTheme="minorEastAsia"/>
          <w:color w:val="auto"/>
          <w:szCs w:val="28"/>
        </w:rPr>
      </w:pPr>
      <w:bookmarkStart w:id="320" w:name="_Toc29542"/>
      <w:r>
        <w:rPr>
          <w:rFonts w:hint="eastAsia"/>
          <w:color w:val="auto"/>
        </w:rPr>
        <w:t>安全文明施工</w:t>
      </w:r>
      <w:bookmarkEnd w:id="320"/>
    </w:p>
    <w:p w14:paraId="0BB45893">
      <w:pPr>
        <w:adjustRightInd w:val="0"/>
        <w:snapToGrid w:val="0"/>
        <w:ind w:firstLine="560"/>
        <w:rPr>
          <w:rFonts w:hint="eastAsia" w:eastAsiaTheme="minorEastAsia"/>
          <w:color w:val="auto"/>
          <w:sz w:val="28"/>
          <w:szCs w:val="28"/>
        </w:rPr>
      </w:pPr>
      <w:r>
        <w:rPr>
          <w:rFonts w:hint="eastAsia" w:eastAsiaTheme="minorEastAsia"/>
          <w:color w:val="auto"/>
          <w:sz w:val="28"/>
          <w:szCs w:val="28"/>
        </w:rPr>
        <w:t>建立以项目经理为首的安全生产领导小组，项目设专职安全员，建立安全生产检查制度，教育培训制度，安全交底制度，临时用电管理制度，真正做到了安全重在防范，确保了无安全事故发生。</w:t>
      </w:r>
    </w:p>
    <w:p w14:paraId="4ED63CE5">
      <w:pPr>
        <w:pStyle w:val="5"/>
        <w:bidi w:val="0"/>
        <w:rPr>
          <w:rFonts w:hint="eastAsia"/>
          <w:color w:val="auto"/>
        </w:rPr>
      </w:pPr>
      <w:bookmarkStart w:id="321" w:name="_Toc13942"/>
      <w:r>
        <w:rPr>
          <w:rFonts w:hint="eastAsia"/>
          <w:color w:val="auto"/>
        </w:rPr>
        <w:t>工程检验批、分</w:t>
      </w:r>
      <w:r>
        <w:rPr>
          <w:rFonts w:hint="eastAsia"/>
          <w:color w:val="auto"/>
          <w:lang w:eastAsia="zh-CN"/>
        </w:rPr>
        <w:t>项、</w:t>
      </w:r>
      <w:r>
        <w:rPr>
          <w:rFonts w:hint="eastAsia"/>
          <w:color w:val="auto"/>
        </w:rPr>
        <w:t>分</w:t>
      </w:r>
      <w:r>
        <w:rPr>
          <w:rFonts w:hint="eastAsia"/>
          <w:color w:val="auto"/>
          <w:lang w:eastAsia="zh-CN"/>
        </w:rPr>
        <w:t>部</w:t>
      </w:r>
      <w:r>
        <w:rPr>
          <w:rFonts w:hint="eastAsia"/>
          <w:color w:val="auto"/>
        </w:rPr>
        <w:t>工程、单位工程划分情况</w:t>
      </w:r>
      <w:bookmarkEnd w:id="321"/>
    </w:p>
    <w:p w14:paraId="59815130">
      <w:pPr>
        <w:adjustRightInd w:val="0"/>
        <w:snapToGrid w:val="0"/>
        <w:ind w:firstLine="560"/>
        <w:rPr>
          <w:rFonts w:hint="eastAsia" w:eastAsiaTheme="minorEastAsia"/>
          <w:color w:val="auto"/>
          <w:sz w:val="28"/>
          <w:szCs w:val="28"/>
          <w:highlight w:val="none"/>
          <w:lang w:eastAsia="zh-CN"/>
        </w:rPr>
      </w:pPr>
      <w:r>
        <w:rPr>
          <w:rFonts w:hint="eastAsia" w:eastAsiaTheme="minorEastAsia"/>
          <w:color w:val="auto"/>
          <w:sz w:val="28"/>
          <w:szCs w:val="28"/>
          <w:highlight w:val="none"/>
        </w:rPr>
        <w:t>1、划分原则：工程检验批、分</w:t>
      </w:r>
      <w:r>
        <w:rPr>
          <w:rFonts w:hint="eastAsia" w:eastAsiaTheme="minorEastAsia"/>
          <w:color w:val="auto"/>
          <w:sz w:val="28"/>
          <w:szCs w:val="28"/>
          <w:highlight w:val="none"/>
          <w:lang w:eastAsia="zh-CN"/>
        </w:rPr>
        <w:t>项、</w:t>
      </w:r>
      <w:r>
        <w:rPr>
          <w:rFonts w:hint="eastAsia" w:eastAsiaTheme="minorEastAsia"/>
          <w:color w:val="auto"/>
          <w:sz w:val="28"/>
          <w:szCs w:val="28"/>
          <w:highlight w:val="none"/>
        </w:rPr>
        <w:t>分</w:t>
      </w:r>
      <w:r>
        <w:rPr>
          <w:rFonts w:hint="eastAsia" w:eastAsiaTheme="minorEastAsia"/>
          <w:color w:val="auto"/>
          <w:sz w:val="28"/>
          <w:szCs w:val="28"/>
          <w:highlight w:val="none"/>
          <w:lang w:eastAsia="zh-CN"/>
        </w:rPr>
        <w:t>部</w:t>
      </w:r>
      <w:r>
        <w:rPr>
          <w:rFonts w:hint="eastAsia" w:eastAsiaTheme="minorEastAsia"/>
          <w:color w:val="auto"/>
          <w:sz w:val="28"/>
          <w:szCs w:val="28"/>
          <w:highlight w:val="none"/>
        </w:rPr>
        <w:t>工程、单位工程的划分按相应划分原则</w:t>
      </w:r>
      <w:r>
        <w:rPr>
          <w:rFonts w:hint="eastAsia" w:eastAsiaTheme="minorEastAsia"/>
          <w:color w:val="auto"/>
          <w:sz w:val="28"/>
          <w:szCs w:val="28"/>
          <w:highlight w:val="none"/>
          <w:lang w:eastAsia="zh-CN"/>
        </w:rPr>
        <w:t>及</w:t>
      </w:r>
      <w:r>
        <w:rPr>
          <w:rFonts w:hint="eastAsia" w:eastAsiaTheme="minorEastAsia"/>
          <w:color w:val="auto"/>
          <w:sz w:val="28"/>
          <w:szCs w:val="28"/>
          <w:highlight w:val="none"/>
        </w:rPr>
        <w:t>《城镇道路工程施工与质量验收规范》CJJ 1-2008</w:t>
      </w:r>
      <w:r>
        <w:rPr>
          <w:rFonts w:hint="eastAsia" w:eastAsiaTheme="minorEastAsia"/>
          <w:color w:val="auto"/>
          <w:sz w:val="28"/>
          <w:szCs w:val="28"/>
          <w:highlight w:val="none"/>
          <w:lang w:eastAsia="zh-CN"/>
        </w:rPr>
        <w:t>、《给水排水管道工程施工及验收规范》GB 50268-2008、《</w:t>
      </w:r>
      <w:r>
        <w:rPr>
          <w:rFonts w:hint="eastAsia" w:eastAsiaTheme="minorEastAsia"/>
          <w:color w:val="auto"/>
          <w:sz w:val="28"/>
          <w:szCs w:val="28"/>
          <w:highlight w:val="none"/>
        </w:rPr>
        <w:t>混凝土结构工程施工质量验验收规范</w:t>
      </w:r>
      <w:r>
        <w:rPr>
          <w:rFonts w:hint="eastAsia" w:eastAsiaTheme="minorEastAsia"/>
          <w:color w:val="auto"/>
          <w:sz w:val="28"/>
          <w:szCs w:val="28"/>
          <w:highlight w:val="none"/>
          <w:lang w:eastAsia="zh-CN"/>
        </w:rPr>
        <w:t>》</w:t>
      </w:r>
      <w:r>
        <w:rPr>
          <w:rFonts w:hint="eastAsia" w:eastAsiaTheme="minorEastAsia"/>
          <w:color w:val="auto"/>
          <w:sz w:val="28"/>
          <w:szCs w:val="28"/>
          <w:highlight w:val="none"/>
        </w:rPr>
        <w:t>GB50204</w:t>
      </w:r>
      <w:r>
        <w:rPr>
          <w:rFonts w:hint="eastAsia" w:eastAsiaTheme="minorEastAsia"/>
          <w:color w:val="auto"/>
          <w:sz w:val="28"/>
          <w:szCs w:val="28"/>
          <w:highlight w:val="none"/>
          <w:lang w:eastAsia="zh-CN"/>
        </w:rPr>
        <w:t>进行划分。</w:t>
      </w:r>
    </w:p>
    <w:p w14:paraId="58EF6DE3">
      <w:pPr>
        <w:adjustRightInd w:val="0"/>
        <w:snapToGrid w:val="0"/>
        <w:ind w:firstLine="560"/>
        <w:rPr>
          <w:rFonts w:hint="eastAsia" w:eastAsiaTheme="minorEastAsia"/>
          <w:color w:val="auto"/>
          <w:sz w:val="28"/>
          <w:szCs w:val="28"/>
          <w:highlight w:val="none"/>
        </w:rPr>
      </w:pPr>
      <w:r>
        <w:rPr>
          <w:rFonts w:hint="eastAsia" w:eastAsiaTheme="minorEastAsia"/>
          <w:color w:val="auto"/>
          <w:sz w:val="28"/>
          <w:szCs w:val="28"/>
          <w:highlight w:val="none"/>
          <w:lang w:val="en-US" w:eastAsia="zh-CN"/>
        </w:rPr>
        <w:t>2、本工程此次验收共划分为6个分部、18个分项、27个检验批，包括：尾矿平整：1个分部、3个分项、3个检验批，经现场查验全部合格；给排水工程：3个分部、10个分项、19个检验批，经现场查验全部合格；植被恢复：1个分部、2个分项、2个检验批，经现场查验全部合；监测设施：1个分部、3个分项、3个检验批，经现场查验全部合格。</w:t>
      </w:r>
    </w:p>
    <w:p w14:paraId="503685E1">
      <w:pPr>
        <w:pStyle w:val="5"/>
        <w:bidi w:val="0"/>
        <w:rPr>
          <w:rFonts w:hint="eastAsia" w:eastAsiaTheme="minorEastAsia"/>
          <w:color w:val="auto"/>
          <w:szCs w:val="28"/>
          <w:highlight w:val="none"/>
        </w:rPr>
      </w:pPr>
      <w:bookmarkStart w:id="322" w:name="_Toc32288"/>
      <w:r>
        <w:rPr>
          <w:rFonts w:hint="eastAsia"/>
          <w:color w:val="auto"/>
          <w:highlight w:val="none"/>
        </w:rPr>
        <w:t>原材料控制情况</w:t>
      </w:r>
      <w:bookmarkEnd w:id="322"/>
    </w:p>
    <w:p w14:paraId="059E8722">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工程施工过程中对进场原材料进行现场见证取样。</w:t>
      </w:r>
    </w:p>
    <w:p w14:paraId="333B0767">
      <w:pPr>
        <w:adjustRightInd w:val="0"/>
        <w:snapToGrid w:val="0"/>
        <w:ind w:firstLine="560"/>
        <w:rPr>
          <w:rFonts w:hint="eastAsia" w:eastAsiaTheme="minorEastAsia"/>
          <w:color w:val="auto"/>
          <w:sz w:val="28"/>
          <w:szCs w:val="28"/>
          <w:highlight w:val="none"/>
          <w:lang w:val="en-US" w:eastAsia="zh-CN"/>
        </w:rPr>
      </w:pPr>
      <w:bookmarkStart w:id="323" w:name="_Toc19712"/>
      <w:r>
        <w:rPr>
          <w:rFonts w:hint="eastAsia" w:eastAsiaTheme="minorEastAsia"/>
          <w:color w:val="auto"/>
          <w:sz w:val="28"/>
          <w:szCs w:val="28"/>
          <w:highlight w:val="none"/>
          <w:lang w:val="en-US" w:eastAsia="zh-CN"/>
        </w:rPr>
        <w:t>水泥：元谋欣荣商贸有限公司P.C 42.5复合硅酸盐水泥一组，检测结论“合格”；机制砂：会理邵勇诚工贸有限责任公司机制砂一组，检测结论“合格”；会理邵勇诚工贸有限责任公司机制碎石一组，检测结论“合格”；会理邵勇诚工贸有限责任公司毛石一组，检测结论“合格”，会理县石龙页岩砖厂红砖一组，检测结论“合格”。</w:t>
      </w:r>
    </w:p>
    <w:p w14:paraId="1348CA45">
      <w:pPr>
        <w:pStyle w:val="5"/>
        <w:bidi w:val="0"/>
        <w:rPr>
          <w:rFonts w:hint="eastAsia" w:eastAsiaTheme="minorEastAsia"/>
          <w:color w:val="auto"/>
          <w:szCs w:val="28"/>
          <w:highlight w:val="none"/>
        </w:rPr>
      </w:pPr>
      <w:r>
        <w:rPr>
          <w:rFonts w:hint="eastAsia"/>
          <w:color w:val="auto"/>
          <w:highlight w:val="none"/>
        </w:rPr>
        <w:t>取样</w:t>
      </w:r>
      <w:bookmarkEnd w:id="323"/>
    </w:p>
    <w:p w14:paraId="5414533D">
      <w:pPr>
        <w:adjustRightInd w:val="0"/>
        <w:snapToGrid w:val="0"/>
        <w:ind w:firstLine="560"/>
        <w:rPr>
          <w:rFonts w:hint="eastAsia" w:eastAsiaTheme="minorEastAsia"/>
          <w:color w:val="auto"/>
          <w:sz w:val="28"/>
          <w:szCs w:val="28"/>
          <w:highlight w:val="none"/>
          <w:lang w:val="en-US" w:eastAsia="zh-CN"/>
        </w:rPr>
      </w:pPr>
      <w:bookmarkStart w:id="324" w:name="_Toc9591"/>
      <w:r>
        <w:rPr>
          <w:rFonts w:hint="eastAsia" w:eastAsiaTheme="minorEastAsia"/>
          <w:color w:val="auto"/>
          <w:sz w:val="28"/>
          <w:szCs w:val="28"/>
          <w:highlight w:val="none"/>
          <w:lang w:val="en-US" w:eastAsia="zh-CN"/>
        </w:rPr>
        <w:t>1、C20混凝土1组，C15混凝土2组，检测结论“合格”</w:t>
      </w:r>
    </w:p>
    <w:p w14:paraId="084A72AA">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2、m7.5砂浆6组，m15砂浆6组，检测结论“合格”。</w:t>
      </w:r>
    </w:p>
    <w:p w14:paraId="644E9197">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3、配合比C20混凝土、C15混凝土各1组。</w:t>
      </w:r>
    </w:p>
    <w:p w14:paraId="3B531949">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4、配合比m7.5砂浆、m10砂浆各1组。</w:t>
      </w:r>
    </w:p>
    <w:p w14:paraId="74886A3A">
      <w:pPr>
        <w:pStyle w:val="5"/>
        <w:bidi w:val="0"/>
        <w:rPr>
          <w:rFonts w:hint="eastAsia" w:eastAsiaTheme="minorEastAsia"/>
          <w:color w:val="auto"/>
          <w:szCs w:val="28"/>
          <w:highlight w:val="none"/>
          <w:lang w:eastAsia="zh-CN"/>
        </w:rPr>
      </w:pPr>
      <w:r>
        <w:rPr>
          <w:rFonts w:hint="eastAsia"/>
          <w:color w:val="auto"/>
          <w:highlight w:val="none"/>
        </w:rPr>
        <w:t>检测</w:t>
      </w:r>
      <w:r>
        <w:rPr>
          <w:rFonts w:hint="eastAsia"/>
          <w:color w:val="auto"/>
          <w:highlight w:val="none"/>
          <w:lang w:eastAsia="zh-CN"/>
        </w:rPr>
        <w:t>报告</w:t>
      </w:r>
      <w:bookmarkEnd w:id="324"/>
    </w:p>
    <w:p w14:paraId="6495BBF3">
      <w:pPr>
        <w:adjustRightInd w:val="0"/>
        <w:snapToGrid w:val="0"/>
        <w:ind w:firstLine="560"/>
        <w:rPr>
          <w:rFonts w:hint="eastAsia" w:eastAsiaTheme="minorEastAsia"/>
          <w:color w:val="auto"/>
          <w:sz w:val="28"/>
          <w:szCs w:val="28"/>
          <w:highlight w:val="none"/>
          <w:lang w:val="en-US" w:eastAsia="zh-CN"/>
        </w:rPr>
      </w:pPr>
      <w:bookmarkStart w:id="325" w:name="_Toc26813"/>
      <w:r>
        <w:rPr>
          <w:rFonts w:hint="eastAsia" w:eastAsiaTheme="minorEastAsia"/>
          <w:color w:val="auto"/>
          <w:sz w:val="28"/>
          <w:szCs w:val="28"/>
          <w:highlight w:val="none"/>
          <w:lang w:val="en-US" w:eastAsia="zh-CN"/>
        </w:rPr>
        <w:t>1、红砖：出厂合格证一份；</w:t>
      </w:r>
    </w:p>
    <w:p w14:paraId="03D1F568">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2、水泥：出厂合格证一份；</w:t>
      </w:r>
    </w:p>
    <w:p w14:paraId="027D0D81">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3、机制砂：砂检测报告一份；</w:t>
      </w:r>
    </w:p>
    <w:p w14:paraId="7F9310E9">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4、机制碎石：粗骨料试验报告一份；</w:t>
      </w:r>
    </w:p>
    <w:p w14:paraId="38D7B194">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5、毛石：岩石试验检测报告一份；</w:t>
      </w:r>
    </w:p>
    <w:p w14:paraId="5068211C">
      <w:pPr>
        <w:pStyle w:val="5"/>
        <w:bidi w:val="0"/>
        <w:rPr>
          <w:rFonts w:hint="eastAsia" w:eastAsiaTheme="minorEastAsia"/>
          <w:color w:val="auto"/>
          <w:szCs w:val="28"/>
        </w:rPr>
      </w:pPr>
      <w:r>
        <w:rPr>
          <w:rFonts w:hint="eastAsia"/>
          <w:color w:val="auto"/>
        </w:rPr>
        <w:t>结论</w:t>
      </w:r>
      <w:bookmarkEnd w:id="325"/>
    </w:p>
    <w:p w14:paraId="5B9389BC">
      <w:pPr>
        <w:adjustRightInd w:val="0"/>
        <w:snapToGrid w:val="0"/>
        <w:ind w:firstLine="560"/>
        <w:rPr>
          <w:rFonts w:hint="eastAsia" w:eastAsiaTheme="minorEastAsia"/>
          <w:color w:val="auto"/>
          <w:sz w:val="28"/>
          <w:szCs w:val="28"/>
        </w:rPr>
      </w:pPr>
      <w:r>
        <w:rPr>
          <w:rFonts w:hint="eastAsia" w:eastAsiaTheme="minorEastAsia"/>
          <w:color w:val="auto"/>
          <w:sz w:val="28"/>
          <w:szCs w:val="28"/>
        </w:rPr>
        <w:t>该项目工程质量验收合格，质量控制资料完整，主要功能项目的抽查结果符合规范规定，观感质量验收符合要求，工程项目质量达到合同约定，满足设计文件要求，符合国家强制性标准及条款的规定，自评为合格。</w:t>
      </w:r>
    </w:p>
    <w:p w14:paraId="51045917">
      <w:pPr>
        <w:pStyle w:val="4"/>
        <w:bidi w:val="0"/>
        <w:rPr>
          <w:rFonts w:hint="eastAsia"/>
          <w:color w:val="auto"/>
          <w:lang w:val="en-US" w:eastAsia="zh-CN"/>
        </w:rPr>
      </w:pPr>
      <w:bookmarkStart w:id="326" w:name="_Toc9492"/>
      <w:r>
        <w:rPr>
          <w:rFonts w:hint="eastAsia"/>
          <w:color w:val="auto"/>
          <w:lang w:val="en-US" w:eastAsia="zh-CN"/>
        </w:rPr>
        <w:t>监理情况</w:t>
      </w:r>
      <w:bookmarkEnd w:id="326"/>
    </w:p>
    <w:p w14:paraId="1F5BF27F">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依据监理单位中鸿荣造项目管理有限公司提供的《元谋县大远矿业有限公司红坡铁矿选厂尾矿库闭库工程监理总结报告》摘录。</w:t>
      </w:r>
    </w:p>
    <w:p w14:paraId="7E588EE2">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根据本工程特点，监理公司任命了该工程的总监理工程师及专业监理工程师组成项目监理组，施工现场设一名监理工程师常驻工地实施监理，并投入了必要的监理设施。</w:t>
      </w:r>
    </w:p>
    <w:p w14:paraId="626696CE">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为了对该工程质量有效控制，施工过程中采取了巡视监理、旁站监理等方式；对关键部位，设置质量控制点，严格事前、事中、事后的质量控制措施。</w:t>
      </w:r>
    </w:p>
    <w:p w14:paraId="640A9162">
      <w:pPr>
        <w:bidi w:val="0"/>
        <w:rPr>
          <w:rFonts w:hint="eastAsia"/>
          <w:color w:val="auto"/>
          <w:highlight w:val="none"/>
          <w:lang w:val="en-US" w:eastAsia="zh-CN"/>
        </w:rPr>
      </w:pPr>
      <w:r>
        <w:rPr>
          <w:rFonts w:hint="eastAsia"/>
          <w:color w:val="auto"/>
          <w:highlight w:val="none"/>
          <w:lang w:val="en-US" w:eastAsia="zh-CN"/>
        </w:rPr>
        <w:t>（1）工程材料、半成品质量检验制度</w:t>
      </w:r>
    </w:p>
    <w:p w14:paraId="506080BA">
      <w:pPr>
        <w:bidi w:val="0"/>
        <w:rPr>
          <w:rFonts w:hint="eastAsia"/>
          <w:color w:val="auto"/>
          <w:highlight w:val="none"/>
          <w:lang w:val="en-US" w:eastAsia="zh-CN"/>
        </w:rPr>
      </w:pPr>
      <w:r>
        <w:rPr>
          <w:rFonts w:hint="eastAsia"/>
          <w:color w:val="auto"/>
          <w:highlight w:val="none"/>
          <w:lang w:val="en-US" w:eastAsia="zh-CN"/>
        </w:rPr>
        <w:t>每批材料进场，要求施工单位进行报验，监理工程师审阅现场材料的出产合格证及质量保证资料，核对进场材料是否符合合同约定要求，按要求进行见证取样，并跟踪送检合格后方可使用。对不合格材料一律清出场外。</w:t>
      </w:r>
    </w:p>
    <w:p w14:paraId="01B3CA05">
      <w:pPr>
        <w:bidi w:val="0"/>
        <w:rPr>
          <w:rFonts w:hint="eastAsia"/>
          <w:color w:val="auto"/>
          <w:highlight w:val="none"/>
          <w:lang w:val="en-US" w:eastAsia="zh-CN"/>
        </w:rPr>
      </w:pPr>
      <w:r>
        <w:rPr>
          <w:rFonts w:hint="eastAsia"/>
          <w:color w:val="auto"/>
          <w:highlight w:val="none"/>
          <w:lang w:val="en-US" w:eastAsia="zh-CN"/>
        </w:rPr>
        <w:t>（2）隐蔽工程质量验收</w:t>
      </w:r>
    </w:p>
    <w:p w14:paraId="191CF953">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各道工序完成后，要求施工单位进行自检，自检合格后填报工程质量报验单，由监理工程师、建设单位代表进行检验验收，验收合格后，及时签认质保资料方可进行下一道工序施工。</w:t>
      </w:r>
    </w:p>
    <w:p w14:paraId="79B62C0F">
      <w:pPr>
        <w:bidi w:val="0"/>
        <w:rPr>
          <w:rFonts w:hint="eastAsia"/>
          <w:color w:val="auto"/>
          <w:highlight w:val="none"/>
          <w:lang w:val="en-US" w:eastAsia="zh-CN"/>
        </w:rPr>
      </w:pPr>
      <w:r>
        <w:rPr>
          <w:rFonts w:hint="eastAsia"/>
          <w:color w:val="auto"/>
          <w:highlight w:val="none"/>
          <w:lang w:val="en-US" w:eastAsia="zh-CN"/>
        </w:rPr>
        <w:t>（3）对关键部位实施了旁站监理，并做了旁站监理记录，审核了混凝土、砂浆配合比情况，施工时进行了见证取样，并签认了见证取样记录。监理日记详实记录了施工情况和监理情况。通过以上监理工作的认真开展，坚决执行，每道工序不经验收合格，严禁下道工序施工，工程施工未留下质量隐患，满足了设计要求及建筑工程施工质量验收规范要求。</w:t>
      </w:r>
    </w:p>
    <w:p w14:paraId="5D975FFC">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（4）工程开工时，监理审核了施工单位报送的施工进度计划表，施工中检查、督促实际进度与计划进度的落实情况，工程中期克服诸多因素的影响使工程顺利完工。</w:t>
      </w:r>
    </w:p>
    <w:p w14:paraId="2A2AE437">
      <w:pPr>
        <w:adjustRightInd w:val="0"/>
        <w:snapToGrid w:val="0"/>
        <w:ind w:firstLine="560"/>
        <w:rPr>
          <w:rFonts w:hint="default"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（5）工程监理过程中，施工单位严格管理，精心组织施工，积极配合监理工作的开展，并得到相关单位的大力支持、指导，使监理工作得到顺利开展。</w:t>
      </w:r>
    </w:p>
    <w:p w14:paraId="685F4715">
      <w:pPr>
        <w:adjustRightInd w:val="0"/>
        <w:snapToGrid w:val="0"/>
        <w:ind w:firstLine="560"/>
        <w:rPr>
          <w:rFonts w:hint="eastAsia" w:eastAsiaTheme="minorEastAsia"/>
          <w:color w:val="auto"/>
          <w:sz w:val="28"/>
          <w:szCs w:val="28"/>
          <w:highlight w:val="none"/>
          <w:lang w:val="en-US" w:eastAsia="zh-CN"/>
        </w:rPr>
      </w:pPr>
      <w:r>
        <w:rPr>
          <w:rFonts w:hint="eastAsia" w:eastAsiaTheme="minorEastAsia"/>
          <w:color w:val="auto"/>
          <w:sz w:val="28"/>
          <w:szCs w:val="28"/>
          <w:highlight w:val="none"/>
          <w:lang w:val="en-US" w:eastAsia="zh-CN"/>
        </w:rPr>
        <w:t>元谋县大远矿业有限公司红坡铁矿选厂尾矿库闭库工程于2023年7月1日开工，2024年1月6日竣工，由建设单位组织设计单位、检测单位、监理单位、施工单位等共同参与验收。该项目工程中各单位工程质量验收合格，质量控制资料齐全完整，工程项目质量达到合同约定，满足设计文件及相关验收要求，符合国家强制性标准及条款的规定，同意按合格工程验收。</w:t>
      </w:r>
    </w:p>
    <w:p w14:paraId="798336A0">
      <w:pPr>
        <w:pStyle w:val="92"/>
        <w:ind w:left="0" w:leftChars="0" w:firstLine="0" w:firstLineChars="0"/>
        <w:rPr>
          <w:rFonts w:hint="default"/>
          <w:color w:val="auto"/>
          <w:lang w:val="en-US" w:eastAsia="zh-CN"/>
        </w:rPr>
        <w:sectPr>
          <w:headerReference r:id="rId11" w:type="default"/>
          <w:footerReference r:id="rId12" w:type="default"/>
          <w:pgSz w:w="11906" w:h="16838"/>
          <w:pgMar w:top="1417" w:right="1474" w:bottom="1417" w:left="1361" w:header="964" w:footer="964" w:gutter="0"/>
          <w:pgNumType w:fmt="decimal" w:start="1"/>
          <w:cols w:space="425" w:num="1"/>
          <w:docGrid w:type="lines" w:linePitch="312" w:charSpace="0"/>
        </w:sectPr>
      </w:pPr>
    </w:p>
    <w:p w14:paraId="3A701F1A">
      <w:pPr>
        <w:pStyle w:val="3"/>
        <w:bidi w:val="0"/>
        <w:rPr>
          <w:color w:val="auto"/>
        </w:rPr>
      </w:pPr>
      <w:bookmarkStart w:id="327" w:name="_Toc421028616"/>
      <w:bookmarkStart w:id="328" w:name="_Toc18777"/>
      <w:bookmarkStart w:id="329" w:name="_Toc22792"/>
      <w:bookmarkStart w:id="330" w:name="_Toc22529"/>
      <w:r>
        <w:rPr>
          <w:rFonts w:hint="eastAsia"/>
          <w:color w:val="auto"/>
        </w:rPr>
        <w:t>评价单元的划分和评价方法的选择</w:t>
      </w:r>
      <w:bookmarkEnd w:id="327"/>
      <w:bookmarkEnd w:id="328"/>
      <w:bookmarkEnd w:id="329"/>
      <w:bookmarkEnd w:id="330"/>
    </w:p>
    <w:p w14:paraId="47CAE19E">
      <w:pPr>
        <w:pStyle w:val="4"/>
        <w:bidi w:val="0"/>
        <w:rPr>
          <w:color w:val="auto"/>
        </w:rPr>
      </w:pPr>
      <w:bookmarkStart w:id="331" w:name="_Toc218999289"/>
      <w:bookmarkStart w:id="332" w:name="_Toc18840"/>
      <w:bookmarkStart w:id="333" w:name="_Toc186035160"/>
      <w:bookmarkStart w:id="334" w:name="_Toc149206775"/>
      <w:bookmarkStart w:id="335" w:name="_Toc149761259"/>
      <w:bookmarkStart w:id="336" w:name="_Toc149206365"/>
      <w:bookmarkStart w:id="337" w:name="_Toc222650023"/>
      <w:bookmarkStart w:id="338" w:name="_Toc149809623"/>
      <w:bookmarkStart w:id="339" w:name="_Toc421028617"/>
      <w:bookmarkStart w:id="340" w:name="_Toc334550588"/>
      <w:bookmarkStart w:id="341" w:name="_Toc20469"/>
      <w:bookmarkStart w:id="342" w:name="_Toc21474"/>
      <w:bookmarkStart w:id="343" w:name="_Toc387646043"/>
      <w:bookmarkStart w:id="344" w:name="_Toc353993824"/>
      <w:bookmarkStart w:id="345" w:name="_Toc149224910"/>
      <w:bookmarkStart w:id="346" w:name="_Toc149761113"/>
      <w:bookmarkStart w:id="347" w:name="_Toc137793256"/>
      <w:bookmarkStart w:id="348" w:name="_Toc105730445"/>
      <w:bookmarkStart w:id="349" w:name="_Toc140123939"/>
      <w:bookmarkStart w:id="350" w:name="_Toc105675600"/>
      <w:bookmarkStart w:id="351" w:name="_Toc105676080"/>
      <w:bookmarkStart w:id="352" w:name="_Toc105674933"/>
      <w:r>
        <w:rPr>
          <w:rFonts w:hint="eastAsia"/>
          <w:color w:val="auto"/>
        </w:rPr>
        <w:t>评价单元划分</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14:paraId="24706AAB">
      <w:pPr>
        <w:pStyle w:val="5"/>
        <w:bidi w:val="0"/>
        <w:rPr>
          <w:color w:val="auto"/>
        </w:rPr>
      </w:pPr>
      <w:bookmarkStart w:id="353" w:name="_Toc218999290"/>
      <w:bookmarkStart w:id="354" w:name="_Toc186035161"/>
      <w:bookmarkStart w:id="355" w:name="_Toc421028618"/>
      <w:bookmarkStart w:id="356" w:name="_Toc353993825"/>
      <w:bookmarkStart w:id="357" w:name="_Toc25660"/>
      <w:bookmarkStart w:id="358" w:name="_Toc21256"/>
      <w:bookmarkStart w:id="359" w:name="_Toc2497"/>
      <w:bookmarkStart w:id="360" w:name="_Toc387646044"/>
      <w:bookmarkStart w:id="361" w:name="_Toc174876103"/>
      <w:bookmarkStart w:id="362" w:name="_Toc178434891"/>
      <w:r>
        <w:rPr>
          <w:rFonts w:hint="eastAsia"/>
          <w:color w:val="auto"/>
        </w:rPr>
        <w:t>评价单元划分原则</w:t>
      </w:r>
      <w:bookmarkEnd w:id="353"/>
      <w:bookmarkEnd w:id="354"/>
      <w:bookmarkEnd w:id="355"/>
      <w:bookmarkEnd w:id="356"/>
      <w:bookmarkEnd w:id="357"/>
      <w:bookmarkEnd w:id="358"/>
      <w:bookmarkEnd w:id="359"/>
      <w:bookmarkEnd w:id="360"/>
      <w:bookmarkEnd w:id="361"/>
      <w:bookmarkEnd w:id="362"/>
    </w:p>
    <w:p w14:paraId="1AC08416">
      <w:pPr>
        <w:bidi w:val="0"/>
        <w:rPr>
          <w:rFonts w:hint="eastAsia"/>
          <w:color w:val="auto"/>
          <w:lang w:val="en-US" w:eastAsia="zh-CN"/>
        </w:rPr>
      </w:pPr>
      <w:r>
        <w:rPr>
          <w:rFonts w:hint="eastAsia"/>
          <w:color w:val="auto"/>
          <w:lang w:val="en-US" w:eastAsia="zh-CN"/>
        </w:rPr>
        <w:t>评价单元划分要便于评价工作的进行，有利于提高评价工作的准确性。</w:t>
      </w:r>
    </w:p>
    <w:p w14:paraId="23B712FB">
      <w:pPr>
        <w:bidi w:val="0"/>
        <w:rPr>
          <w:rFonts w:hint="eastAsia"/>
          <w:color w:val="auto"/>
          <w:lang w:val="en-US" w:eastAsia="zh-CN"/>
        </w:rPr>
      </w:pPr>
      <w:r>
        <w:rPr>
          <w:rFonts w:hint="eastAsia"/>
          <w:color w:val="auto"/>
          <w:lang w:val="en-US" w:eastAsia="zh-CN"/>
        </w:rPr>
        <w:t>评价单元的划分，一般将生产工艺、工艺装置、物料的特点和特征与危险有害因素的类别、分布有机结合进行划分，还可以按评价的需要将一个评价单元再划分为若干子评价单元或更细致的单元。</w:t>
      </w:r>
    </w:p>
    <w:p w14:paraId="54FFA39F">
      <w:pPr>
        <w:pStyle w:val="5"/>
        <w:bidi w:val="0"/>
        <w:rPr>
          <w:rFonts w:hint="eastAsia"/>
          <w:color w:val="auto"/>
          <w:lang w:val="en-US" w:eastAsia="zh-CN"/>
        </w:rPr>
      </w:pPr>
      <w:bookmarkStart w:id="363" w:name="_Toc174876104"/>
      <w:bookmarkStart w:id="364" w:name="_Toc353993826"/>
      <w:bookmarkStart w:id="365" w:name="_Toc9668"/>
      <w:bookmarkStart w:id="366" w:name="_Toc153772414"/>
      <w:bookmarkStart w:id="367" w:name="_Toc186035162"/>
      <w:bookmarkStart w:id="368" w:name="_Toc178434892"/>
      <w:bookmarkStart w:id="369" w:name="_Toc218999291"/>
      <w:bookmarkStart w:id="370" w:name="_Toc387646045"/>
      <w:bookmarkStart w:id="371" w:name="_Toc5387"/>
      <w:bookmarkStart w:id="372" w:name="_Toc421028619"/>
      <w:bookmarkStart w:id="373" w:name="_Toc122599650"/>
      <w:bookmarkStart w:id="374" w:name="_Toc15310"/>
      <w:r>
        <w:rPr>
          <w:rFonts w:hint="eastAsia"/>
          <w:color w:val="auto"/>
          <w:lang w:val="en-US" w:eastAsia="zh-CN"/>
        </w:rPr>
        <w:t>评价单元划分方法</w:t>
      </w:r>
      <w:bookmarkEnd w:id="363"/>
      <w:bookmarkEnd w:id="364"/>
      <w:bookmarkEnd w:id="365"/>
      <w:bookmarkEnd w:id="366"/>
      <w:bookmarkEnd w:id="367"/>
      <w:bookmarkEnd w:id="368"/>
      <w:bookmarkEnd w:id="369"/>
      <w:bookmarkEnd w:id="370"/>
      <w:bookmarkEnd w:id="371"/>
      <w:bookmarkEnd w:id="372"/>
      <w:bookmarkEnd w:id="373"/>
      <w:bookmarkEnd w:id="374"/>
    </w:p>
    <w:p w14:paraId="66FA1B41">
      <w:pPr>
        <w:bidi w:val="0"/>
        <w:rPr>
          <w:rFonts w:hint="eastAsia"/>
          <w:color w:val="auto"/>
          <w:lang w:val="en-US" w:eastAsia="zh-CN"/>
        </w:rPr>
      </w:pPr>
      <w:r>
        <w:rPr>
          <w:rFonts w:hint="eastAsia"/>
          <w:color w:val="auto"/>
          <w:lang w:val="en-US" w:eastAsia="zh-CN"/>
        </w:rPr>
        <w:t>常用的评价单元划分方法有：</w:t>
      </w:r>
    </w:p>
    <w:p w14:paraId="5B573DDE">
      <w:pPr>
        <w:bidi w:val="0"/>
        <w:rPr>
          <w:rFonts w:hint="eastAsia"/>
          <w:color w:val="auto"/>
          <w:lang w:val="en-US" w:eastAsia="zh-CN"/>
        </w:rPr>
      </w:pPr>
      <w:r>
        <w:rPr>
          <w:rFonts w:hint="eastAsia"/>
          <w:color w:val="auto"/>
          <w:lang w:val="en-US" w:eastAsia="zh-CN"/>
        </w:rPr>
        <w:t>1.以危险、有害因素的类别为主划分评价单元。</w:t>
      </w:r>
    </w:p>
    <w:p w14:paraId="45028C27">
      <w:pPr>
        <w:bidi w:val="0"/>
        <w:rPr>
          <w:rFonts w:hint="eastAsia"/>
          <w:color w:val="auto"/>
          <w:lang w:val="en-US" w:eastAsia="zh-CN"/>
        </w:rPr>
      </w:pPr>
      <w:r>
        <w:rPr>
          <w:rFonts w:hint="eastAsia"/>
          <w:color w:val="auto"/>
          <w:lang w:val="en-US" w:eastAsia="zh-CN"/>
        </w:rPr>
        <w:t>（1）对工艺方案、总体布置及自然条件、环境对系统影响等综合方面的危险、有害因素的分析和评价，可将整个系统作为一个评价单元；</w:t>
      </w:r>
    </w:p>
    <w:p w14:paraId="72F26F24">
      <w:pPr>
        <w:bidi w:val="0"/>
        <w:rPr>
          <w:rFonts w:hint="eastAsia"/>
          <w:color w:val="auto"/>
          <w:lang w:val="en-US" w:eastAsia="zh-CN"/>
        </w:rPr>
      </w:pPr>
      <w:r>
        <w:rPr>
          <w:rFonts w:hint="eastAsia"/>
          <w:color w:val="auto"/>
          <w:lang w:val="en-US" w:eastAsia="zh-CN"/>
        </w:rPr>
        <w:t>（2）将具有共性危险因素、有害因素的场所和装置划为一个单元。</w:t>
      </w:r>
    </w:p>
    <w:p w14:paraId="1899DC30">
      <w:pPr>
        <w:bidi w:val="0"/>
        <w:rPr>
          <w:rFonts w:hint="eastAsia"/>
          <w:color w:val="auto"/>
          <w:lang w:val="en-US" w:eastAsia="zh-CN"/>
        </w:rPr>
      </w:pPr>
      <w:r>
        <w:rPr>
          <w:rFonts w:hint="eastAsia"/>
          <w:color w:val="auto"/>
          <w:lang w:val="en-US" w:eastAsia="zh-CN"/>
        </w:rPr>
        <w:t>2.以装置和物质特征划分评价单元。</w:t>
      </w:r>
    </w:p>
    <w:p w14:paraId="6A55F79A">
      <w:pPr>
        <w:bidi w:val="0"/>
        <w:rPr>
          <w:rFonts w:hint="eastAsia"/>
          <w:color w:val="auto"/>
          <w:lang w:val="en-US" w:eastAsia="zh-CN"/>
        </w:rPr>
      </w:pPr>
      <w:r>
        <w:rPr>
          <w:rFonts w:hint="eastAsia"/>
          <w:color w:val="auto"/>
          <w:lang w:val="en-US" w:eastAsia="zh-CN"/>
        </w:rPr>
        <w:t>（1）按装置工艺功能划分；</w:t>
      </w:r>
    </w:p>
    <w:p w14:paraId="3D29CE0B">
      <w:pPr>
        <w:bidi w:val="0"/>
        <w:rPr>
          <w:rFonts w:hint="eastAsia"/>
          <w:color w:val="auto"/>
          <w:lang w:val="en-US" w:eastAsia="zh-CN"/>
        </w:rPr>
      </w:pPr>
      <w:r>
        <w:rPr>
          <w:rFonts w:hint="eastAsia"/>
          <w:color w:val="auto"/>
          <w:lang w:val="en-US" w:eastAsia="zh-CN"/>
        </w:rPr>
        <w:t>（2）按布置的相对独立性划分；</w:t>
      </w:r>
    </w:p>
    <w:p w14:paraId="2B65E1DE">
      <w:pPr>
        <w:bidi w:val="0"/>
        <w:rPr>
          <w:rFonts w:hint="eastAsia"/>
          <w:color w:val="auto"/>
          <w:lang w:val="en-US" w:eastAsia="zh-CN"/>
        </w:rPr>
      </w:pPr>
      <w:r>
        <w:rPr>
          <w:rFonts w:hint="eastAsia"/>
          <w:color w:val="auto"/>
          <w:lang w:val="en-US" w:eastAsia="zh-CN"/>
        </w:rPr>
        <w:t>（3）按工艺条件划分评价单元；</w:t>
      </w:r>
    </w:p>
    <w:p w14:paraId="3B03ADB2">
      <w:pPr>
        <w:bidi w:val="0"/>
        <w:rPr>
          <w:rFonts w:hint="eastAsia"/>
          <w:color w:val="auto"/>
          <w:lang w:val="en-US" w:eastAsia="zh-CN"/>
        </w:rPr>
      </w:pPr>
      <w:r>
        <w:rPr>
          <w:rFonts w:hint="eastAsia"/>
          <w:color w:val="auto"/>
          <w:lang w:val="en-US" w:eastAsia="zh-CN"/>
        </w:rPr>
        <w:t>（4）按贮存、处理危险物品的潜在化学能、毒性和危险物品的数量划分评价单元；</w:t>
      </w:r>
    </w:p>
    <w:p w14:paraId="299F4F1A">
      <w:pPr>
        <w:bidi w:val="0"/>
        <w:rPr>
          <w:rFonts w:hint="eastAsia"/>
          <w:color w:val="auto"/>
          <w:lang w:val="en-US" w:eastAsia="zh-CN"/>
        </w:rPr>
      </w:pPr>
      <w:r>
        <w:rPr>
          <w:rFonts w:hint="eastAsia"/>
          <w:color w:val="auto"/>
          <w:lang w:val="en-US" w:eastAsia="zh-CN"/>
        </w:rPr>
        <w:t>（5）根据以往事故资料，将发生事故能导致停产、波及范围大、造成巨大损失和伤害的关键设备作为一个单元；</w:t>
      </w:r>
    </w:p>
    <w:p w14:paraId="6B195CC1">
      <w:pPr>
        <w:bidi w:val="0"/>
        <w:rPr>
          <w:rFonts w:hint="eastAsia"/>
          <w:color w:val="auto"/>
          <w:lang w:val="en-US" w:eastAsia="zh-CN"/>
        </w:rPr>
      </w:pPr>
      <w:r>
        <w:rPr>
          <w:rFonts w:hint="eastAsia"/>
          <w:color w:val="auto"/>
          <w:lang w:val="en-US" w:eastAsia="zh-CN"/>
        </w:rPr>
        <w:t>（6）将危险性大且资金密度大的区域作为一个评价单元；</w:t>
      </w:r>
    </w:p>
    <w:p w14:paraId="35735EF7">
      <w:pPr>
        <w:bidi w:val="0"/>
        <w:rPr>
          <w:rFonts w:hint="eastAsia"/>
          <w:color w:val="auto"/>
          <w:lang w:val="en-US" w:eastAsia="zh-CN"/>
        </w:rPr>
      </w:pPr>
      <w:r>
        <w:rPr>
          <w:rFonts w:hint="eastAsia"/>
          <w:color w:val="auto"/>
          <w:lang w:val="en-US" w:eastAsia="zh-CN"/>
        </w:rPr>
        <w:t>（7）将危险性特别大的区域、装置作为一个评价单元。</w:t>
      </w:r>
      <w:bookmarkEnd w:id="347"/>
      <w:bookmarkEnd w:id="348"/>
      <w:bookmarkEnd w:id="349"/>
      <w:bookmarkEnd w:id="350"/>
      <w:bookmarkEnd w:id="351"/>
      <w:bookmarkEnd w:id="352"/>
      <w:bookmarkStart w:id="375" w:name="_Toc301722098"/>
      <w:bookmarkStart w:id="376" w:name="_Toc451960213"/>
      <w:bookmarkStart w:id="377" w:name="_Toc106008284"/>
      <w:bookmarkStart w:id="378" w:name="_Toc91667701"/>
      <w:bookmarkStart w:id="379" w:name="_Toc30645"/>
      <w:bookmarkStart w:id="380" w:name="_Toc137113261"/>
      <w:bookmarkStart w:id="381" w:name="_Toc103937190"/>
      <w:bookmarkStart w:id="382" w:name="_Toc103935843"/>
      <w:bookmarkStart w:id="383" w:name="_Toc97521742"/>
      <w:bookmarkStart w:id="384" w:name="_Toc103933549"/>
      <w:bookmarkStart w:id="385" w:name="_Toc105917031"/>
      <w:bookmarkStart w:id="386" w:name="_Toc103769731"/>
      <w:bookmarkStart w:id="387" w:name="_Toc177553630"/>
      <w:bookmarkStart w:id="388" w:name="_Toc107309426"/>
      <w:bookmarkStart w:id="389" w:name="_Toc107643082"/>
      <w:bookmarkStart w:id="390" w:name="_Toc162433089"/>
      <w:bookmarkStart w:id="391" w:name="_Toc103938771"/>
      <w:bookmarkStart w:id="392" w:name="_Toc97521000"/>
      <w:bookmarkStart w:id="393" w:name="_Toc197952788"/>
      <w:bookmarkStart w:id="394" w:name="_Toc94328492"/>
      <w:bookmarkStart w:id="395" w:name="_Toc103770020"/>
      <w:bookmarkStart w:id="396" w:name="_Toc103936425"/>
      <w:bookmarkStart w:id="397" w:name="_Toc107309788"/>
      <w:bookmarkStart w:id="398" w:name="_Toc107309600"/>
      <w:bookmarkStart w:id="399" w:name="_Toc103936225"/>
    </w:p>
    <w:p w14:paraId="4DC9243F">
      <w:pPr>
        <w:pStyle w:val="5"/>
        <w:bidi w:val="0"/>
        <w:rPr>
          <w:rFonts w:hint="eastAsia"/>
          <w:color w:val="auto"/>
          <w:lang w:val="en-US" w:eastAsia="zh-CN"/>
        </w:rPr>
      </w:pPr>
      <w:bookmarkStart w:id="400" w:name="_Toc21404"/>
      <w:bookmarkStart w:id="401" w:name="_Toc5573"/>
      <w:r>
        <w:rPr>
          <w:rFonts w:hint="eastAsia"/>
          <w:color w:val="auto"/>
          <w:lang w:val="en-US" w:eastAsia="zh-CN"/>
        </w:rPr>
        <w:t>评价单元的划分</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p>
    <w:p w14:paraId="68A9AA1E">
      <w:pPr>
        <w:bidi w:val="0"/>
        <w:rPr>
          <w:rFonts w:hint="eastAsia"/>
          <w:color w:val="auto"/>
          <w:lang w:val="en-US" w:eastAsia="zh-CN"/>
        </w:rPr>
      </w:pPr>
      <w:r>
        <w:rPr>
          <w:rFonts w:hint="eastAsia"/>
          <w:color w:val="auto"/>
          <w:lang w:val="en-US" w:eastAsia="zh-CN"/>
        </w:rPr>
        <w:t>本报告根据该尾矿库存在的危险、有害因素和重要危险、有害因素的分布等情况，划分为以下单元进行评价：</w:t>
      </w:r>
    </w:p>
    <w:tbl>
      <w:tblPr>
        <w:tblStyle w:val="5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7"/>
        <w:gridCol w:w="5301"/>
        <w:gridCol w:w="2897"/>
      </w:tblGrid>
      <w:tr w14:paraId="7C2B5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Align w:val="center"/>
          </w:tcPr>
          <w:p w14:paraId="65B6BED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序号</w:t>
            </w:r>
          </w:p>
        </w:tc>
        <w:tc>
          <w:tcPr>
            <w:tcW w:w="5301" w:type="dxa"/>
            <w:vAlign w:val="center"/>
          </w:tcPr>
          <w:p w14:paraId="44B6868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lang w:val="en-US" w:eastAsia="zh-CN"/>
              </w:rPr>
              <w:t>单元</w:t>
            </w:r>
          </w:p>
        </w:tc>
        <w:tc>
          <w:tcPr>
            <w:tcW w:w="2897" w:type="dxa"/>
            <w:vAlign w:val="center"/>
          </w:tcPr>
          <w:p w14:paraId="22122A8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子单元</w:t>
            </w:r>
          </w:p>
        </w:tc>
      </w:tr>
      <w:tr w14:paraId="560FF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Align w:val="center"/>
          </w:tcPr>
          <w:p w14:paraId="5002857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1</w:t>
            </w:r>
          </w:p>
        </w:tc>
        <w:tc>
          <w:tcPr>
            <w:tcW w:w="5301" w:type="dxa"/>
            <w:vAlign w:val="center"/>
          </w:tcPr>
          <w:p w14:paraId="51CF70C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安全设施“三同时”程序单元</w:t>
            </w:r>
          </w:p>
        </w:tc>
        <w:tc>
          <w:tcPr>
            <w:tcW w:w="2897" w:type="dxa"/>
            <w:vAlign w:val="center"/>
          </w:tcPr>
          <w:p w14:paraId="0ECB96B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p>
        </w:tc>
      </w:tr>
      <w:tr w14:paraId="31F7D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Align w:val="center"/>
          </w:tcPr>
          <w:p w14:paraId="602CE95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2</w:t>
            </w:r>
          </w:p>
        </w:tc>
        <w:tc>
          <w:tcPr>
            <w:tcW w:w="5301" w:type="dxa"/>
            <w:vAlign w:val="center"/>
          </w:tcPr>
          <w:p w14:paraId="0D7592C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lang w:val="en-US" w:eastAsia="zh-CN"/>
              </w:rPr>
              <w:t>尾矿坝单元</w:t>
            </w:r>
          </w:p>
        </w:tc>
        <w:tc>
          <w:tcPr>
            <w:tcW w:w="2897" w:type="dxa"/>
            <w:vAlign w:val="center"/>
          </w:tcPr>
          <w:p w14:paraId="4AAFF5D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p>
        </w:tc>
      </w:tr>
      <w:tr w14:paraId="48C38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Align w:val="center"/>
          </w:tcPr>
          <w:p w14:paraId="5E4E406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3</w:t>
            </w:r>
          </w:p>
        </w:tc>
        <w:tc>
          <w:tcPr>
            <w:tcW w:w="5301" w:type="dxa"/>
            <w:vAlign w:val="center"/>
          </w:tcPr>
          <w:p w14:paraId="55495D2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lang w:val="en-US" w:eastAsia="zh-CN"/>
              </w:rPr>
              <w:t>防排洪系统单元</w:t>
            </w:r>
          </w:p>
        </w:tc>
        <w:tc>
          <w:tcPr>
            <w:tcW w:w="2897" w:type="dxa"/>
            <w:vAlign w:val="center"/>
          </w:tcPr>
          <w:p w14:paraId="0605D70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p>
        </w:tc>
      </w:tr>
      <w:tr w14:paraId="2905C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Align w:val="center"/>
          </w:tcPr>
          <w:p w14:paraId="4B776B3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4</w:t>
            </w:r>
          </w:p>
        </w:tc>
        <w:tc>
          <w:tcPr>
            <w:tcW w:w="5301" w:type="dxa"/>
            <w:vAlign w:val="center"/>
          </w:tcPr>
          <w:p w14:paraId="2F07757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lang w:val="en-US" w:eastAsia="zh-CN"/>
              </w:rPr>
              <w:t>地质灾害防护设施单元</w:t>
            </w:r>
          </w:p>
        </w:tc>
        <w:tc>
          <w:tcPr>
            <w:tcW w:w="2897" w:type="dxa"/>
            <w:vAlign w:val="center"/>
          </w:tcPr>
          <w:p w14:paraId="6A13CF5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p>
        </w:tc>
      </w:tr>
      <w:tr w14:paraId="0052A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Align w:val="center"/>
          </w:tcPr>
          <w:p w14:paraId="53772AB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5</w:t>
            </w:r>
          </w:p>
        </w:tc>
        <w:tc>
          <w:tcPr>
            <w:tcW w:w="5301" w:type="dxa"/>
            <w:vAlign w:val="center"/>
          </w:tcPr>
          <w:p w14:paraId="13E22EC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lang w:val="en-US" w:eastAsia="zh-CN"/>
              </w:rPr>
              <w:t>安全监测设施单元</w:t>
            </w:r>
          </w:p>
        </w:tc>
        <w:tc>
          <w:tcPr>
            <w:tcW w:w="2897" w:type="dxa"/>
            <w:vAlign w:val="center"/>
          </w:tcPr>
          <w:p w14:paraId="57AFB30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p>
        </w:tc>
      </w:tr>
      <w:tr w14:paraId="0E097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Align w:val="center"/>
          </w:tcPr>
          <w:p w14:paraId="22D1F7F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6</w:t>
            </w:r>
          </w:p>
        </w:tc>
        <w:tc>
          <w:tcPr>
            <w:tcW w:w="5301" w:type="dxa"/>
            <w:vAlign w:val="center"/>
          </w:tcPr>
          <w:p w14:paraId="06B1187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lang w:val="en-US" w:eastAsia="zh-CN"/>
              </w:rPr>
              <w:t>排渗单元</w:t>
            </w:r>
          </w:p>
        </w:tc>
        <w:tc>
          <w:tcPr>
            <w:tcW w:w="2897" w:type="dxa"/>
            <w:vAlign w:val="center"/>
          </w:tcPr>
          <w:p w14:paraId="16E7515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p>
        </w:tc>
      </w:tr>
      <w:tr w14:paraId="122C2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Align w:val="center"/>
          </w:tcPr>
          <w:p w14:paraId="5CA0551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7</w:t>
            </w:r>
          </w:p>
        </w:tc>
        <w:tc>
          <w:tcPr>
            <w:tcW w:w="5301" w:type="dxa"/>
            <w:vAlign w:val="center"/>
          </w:tcPr>
          <w:p w14:paraId="757C17A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lang w:val="en-US" w:eastAsia="zh-CN"/>
              </w:rPr>
              <w:t>辅助设施单元</w:t>
            </w:r>
          </w:p>
        </w:tc>
        <w:tc>
          <w:tcPr>
            <w:tcW w:w="2897" w:type="dxa"/>
            <w:vAlign w:val="center"/>
          </w:tcPr>
          <w:p w14:paraId="32BEBB2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p>
        </w:tc>
      </w:tr>
      <w:tr w14:paraId="5E368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Align w:val="center"/>
          </w:tcPr>
          <w:p w14:paraId="3E62132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8</w:t>
            </w:r>
          </w:p>
        </w:tc>
        <w:tc>
          <w:tcPr>
            <w:tcW w:w="5301" w:type="dxa"/>
            <w:vAlign w:val="center"/>
          </w:tcPr>
          <w:p w14:paraId="2864B54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个人安全防护单元</w:t>
            </w:r>
          </w:p>
        </w:tc>
        <w:tc>
          <w:tcPr>
            <w:tcW w:w="2897" w:type="dxa"/>
            <w:vAlign w:val="center"/>
          </w:tcPr>
          <w:p w14:paraId="7C8BE80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p>
        </w:tc>
      </w:tr>
      <w:tr w14:paraId="30FD5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Align w:val="center"/>
          </w:tcPr>
          <w:p w14:paraId="0E0FF44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9</w:t>
            </w:r>
          </w:p>
        </w:tc>
        <w:tc>
          <w:tcPr>
            <w:tcW w:w="5301" w:type="dxa"/>
            <w:vAlign w:val="center"/>
          </w:tcPr>
          <w:p w14:paraId="0F6802E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安全标志单元</w:t>
            </w:r>
          </w:p>
        </w:tc>
        <w:tc>
          <w:tcPr>
            <w:tcW w:w="2897" w:type="dxa"/>
            <w:vAlign w:val="center"/>
          </w:tcPr>
          <w:p w14:paraId="147045B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p>
        </w:tc>
      </w:tr>
      <w:tr w14:paraId="7F0C2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Align w:val="center"/>
          </w:tcPr>
          <w:p w14:paraId="4BBCFB5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10</w:t>
            </w:r>
          </w:p>
        </w:tc>
        <w:tc>
          <w:tcPr>
            <w:tcW w:w="5301" w:type="dxa"/>
            <w:vAlign w:val="center"/>
          </w:tcPr>
          <w:p w14:paraId="5DA43F8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安全管理单元</w:t>
            </w:r>
          </w:p>
        </w:tc>
        <w:tc>
          <w:tcPr>
            <w:tcW w:w="2897" w:type="dxa"/>
            <w:vAlign w:val="center"/>
          </w:tcPr>
          <w:p w14:paraId="5BA7F4F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rPr>
            </w:pPr>
          </w:p>
        </w:tc>
      </w:tr>
    </w:tbl>
    <w:p w14:paraId="6504C5B4">
      <w:pPr>
        <w:pStyle w:val="4"/>
        <w:bidi w:val="0"/>
        <w:outlineLvl w:val="2"/>
        <w:rPr>
          <w:rFonts w:hint="eastAsia"/>
          <w:color w:val="auto"/>
          <w:lang w:val="en-US" w:eastAsia="zh-CN"/>
        </w:rPr>
      </w:pPr>
      <w:bookmarkStart w:id="402" w:name="_Toc196106776"/>
      <w:bookmarkStart w:id="403" w:name="_Toc301722099"/>
      <w:bookmarkStart w:id="404" w:name="_Toc184925848"/>
      <w:bookmarkStart w:id="405" w:name="_Toc168041937"/>
      <w:bookmarkStart w:id="406" w:name="_Toc197917528"/>
      <w:bookmarkStart w:id="407" w:name="_Toc27483"/>
      <w:bookmarkStart w:id="408" w:name="_Toc19511"/>
      <w:bookmarkStart w:id="409" w:name="_Toc451960214"/>
      <w:bookmarkStart w:id="410" w:name="_Toc13160"/>
      <w:r>
        <w:rPr>
          <w:rFonts w:hint="eastAsia"/>
          <w:color w:val="auto"/>
          <w:lang w:val="en-US" w:eastAsia="zh-CN"/>
        </w:rPr>
        <w:t>评价方法的选择</w:t>
      </w:r>
      <w:bookmarkEnd w:id="402"/>
      <w:bookmarkEnd w:id="403"/>
      <w:bookmarkEnd w:id="404"/>
      <w:bookmarkEnd w:id="405"/>
      <w:bookmarkEnd w:id="406"/>
      <w:r>
        <w:rPr>
          <w:rFonts w:hint="eastAsia"/>
          <w:color w:val="auto"/>
          <w:lang w:val="en-US" w:eastAsia="zh-CN"/>
        </w:rPr>
        <w:t>及理由</w:t>
      </w:r>
      <w:bookmarkEnd w:id="407"/>
      <w:bookmarkEnd w:id="408"/>
      <w:bookmarkEnd w:id="409"/>
      <w:bookmarkEnd w:id="410"/>
    </w:p>
    <w:p w14:paraId="2BBFA4F6">
      <w:pPr>
        <w:bidi w:val="0"/>
        <w:rPr>
          <w:rFonts w:hint="eastAsia"/>
          <w:color w:val="auto"/>
          <w:lang w:val="en-US" w:eastAsia="zh-CN"/>
        </w:rPr>
      </w:pPr>
      <w:r>
        <w:rPr>
          <w:rFonts w:hint="eastAsia"/>
          <w:color w:val="auto"/>
          <w:lang w:val="en-US" w:eastAsia="zh-CN"/>
        </w:rPr>
        <w:t>1.依据国家有关法规、标准在检查表中列出了检查要求，使检查工作标准化、规范化。检查企业与国家法律法规、标准规范的符合性。</w:t>
      </w:r>
    </w:p>
    <w:p w14:paraId="16549697">
      <w:pPr>
        <w:bidi w:val="0"/>
        <w:rPr>
          <w:rFonts w:hint="eastAsia"/>
          <w:color w:val="auto"/>
          <w:lang w:val="en-US" w:eastAsia="zh-CN"/>
        </w:rPr>
      </w:pPr>
      <w:r>
        <w:rPr>
          <w:rFonts w:hint="eastAsia"/>
          <w:color w:val="auto"/>
          <w:lang w:val="en-US" w:eastAsia="zh-CN"/>
        </w:rPr>
        <w:t>2.坝体稳定性分析：计算结果与国家规范标准值进行比较，从而判断出尾矿库及尾矿设施的安全性。</w:t>
      </w:r>
    </w:p>
    <w:p w14:paraId="7BD674ED">
      <w:pPr>
        <w:bidi w:val="0"/>
        <w:rPr>
          <w:rFonts w:hint="eastAsia"/>
          <w:color w:val="auto"/>
          <w:lang w:val="en-US" w:eastAsia="zh-CN"/>
        </w:rPr>
      </w:pPr>
      <w:r>
        <w:rPr>
          <w:rFonts w:hint="eastAsia"/>
          <w:color w:val="auto"/>
          <w:lang w:val="en-US" w:eastAsia="zh-CN"/>
        </w:rPr>
        <w:t>鉴于上述特点，本次安全验收评价将采用“安全检查表法（SCA）”、及“坝体稳定性分析”进行评价。</w:t>
      </w:r>
    </w:p>
    <w:p w14:paraId="7B1440D9">
      <w:pPr>
        <w:pStyle w:val="4"/>
        <w:bidi w:val="0"/>
        <w:outlineLvl w:val="2"/>
        <w:rPr>
          <w:rFonts w:hint="eastAsia"/>
          <w:color w:val="auto"/>
          <w:lang w:val="en-US" w:eastAsia="zh-CN"/>
        </w:rPr>
      </w:pPr>
      <w:bookmarkStart w:id="411" w:name="_Toc168041938"/>
      <w:bookmarkStart w:id="412" w:name="_Toc451960215"/>
      <w:bookmarkStart w:id="413" w:name="_Toc184925849"/>
      <w:bookmarkStart w:id="414" w:name="_Toc31725"/>
      <w:bookmarkStart w:id="415" w:name="_Toc196106777"/>
      <w:bookmarkStart w:id="416" w:name="_Toc301722100"/>
      <w:bookmarkStart w:id="417" w:name="_Toc5749"/>
      <w:bookmarkStart w:id="418" w:name="_Toc24011"/>
      <w:bookmarkStart w:id="419" w:name="_Toc197917529"/>
      <w:r>
        <w:rPr>
          <w:rFonts w:hint="eastAsia"/>
          <w:color w:val="auto"/>
          <w:lang w:val="en-US" w:eastAsia="zh-CN"/>
        </w:rPr>
        <w:t>安全评价方法简介</w:t>
      </w:r>
      <w:bookmarkEnd w:id="411"/>
      <w:bookmarkEnd w:id="412"/>
      <w:bookmarkEnd w:id="413"/>
      <w:bookmarkEnd w:id="414"/>
      <w:bookmarkEnd w:id="415"/>
      <w:bookmarkEnd w:id="416"/>
      <w:bookmarkEnd w:id="417"/>
      <w:bookmarkEnd w:id="418"/>
      <w:bookmarkEnd w:id="419"/>
    </w:p>
    <w:p w14:paraId="2462144B">
      <w:pPr>
        <w:pStyle w:val="5"/>
        <w:bidi w:val="0"/>
        <w:outlineLvl w:val="1"/>
        <w:rPr>
          <w:rFonts w:hint="eastAsia"/>
          <w:color w:val="auto"/>
          <w:lang w:val="en-US" w:eastAsia="zh-CN"/>
        </w:rPr>
      </w:pPr>
      <w:bookmarkStart w:id="420" w:name="_Toc301722101"/>
      <w:bookmarkStart w:id="421" w:name="_Toc17541"/>
      <w:bookmarkStart w:id="422" w:name="_Toc16118"/>
      <w:bookmarkStart w:id="423" w:name="_Toc451960216"/>
      <w:bookmarkStart w:id="424" w:name="_Toc196106779"/>
      <w:bookmarkStart w:id="425" w:name="_Toc168041940"/>
      <w:bookmarkStart w:id="426" w:name="_Toc197917531"/>
      <w:bookmarkStart w:id="427" w:name="_Toc14359"/>
      <w:r>
        <w:rPr>
          <w:rFonts w:hint="eastAsia"/>
          <w:color w:val="auto"/>
          <w:lang w:val="en-US" w:eastAsia="zh-CN"/>
        </w:rPr>
        <w:t>安全检查表分析法</w:t>
      </w:r>
      <w:bookmarkEnd w:id="420"/>
      <w:bookmarkEnd w:id="421"/>
      <w:bookmarkEnd w:id="422"/>
      <w:bookmarkEnd w:id="423"/>
      <w:bookmarkEnd w:id="424"/>
      <w:bookmarkEnd w:id="425"/>
      <w:bookmarkEnd w:id="426"/>
      <w:bookmarkEnd w:id="427"/>
    </w:p>
    <w:p w14:paraId="10576357">
      <w:pPr>
        <w:bidi w:val="0"/>
        <w:rPr>
          <w:rFonts w:hint="eastAsia"/>
          <w:color w:val="auto"/>
          <w:lang w:val="en-US" w:eastAsia="zh-CN"/>
        </w:rPr>
      </w:pPr>
      <w:r>
        <w:rPr>
          <w:rFonts w:hint="eastAsia"/>
          <w:color w:val="auto"/>
          <w:lang w:val="en-US" w:eastAsia="zh-CN"/>
        </w:rPr>
        <w:t>安全检查分析法（SCA）是进行安全检查、发现潜在危险的一种有效而简单可行的方法。安全检查表分析利用检查条款按照相关的标准、规范等对已知的危险类别、设计缺陷以及一般工艺设备、操作、管理有关的潜在危险性和有害性进行判别检查；它可适用于工程、系统的各个阶段，即可以评价物质、设备和工艺，常用于专门设计的评价，还可以对已经运行多年的在役（装置）的危险进行检查。</w:t>
      </w:r>
    </w:p>
    <w:p w14:paraId="64EB1F46">
      <w:pPr>
        <w:bidi w:val="0"/>
        <w:rPr>
          <w:rFonts w:hint="eastAsia"/>
          <w:color w:val="auto"/>
          <w:lang w:val="en-US" w:eastAsia="zh-CN"/>
        </w:rPr>
      </w:pPr>
      <w:r>
        <w:rPr>
          <w:rFonts w:hint="eastAsia"/>
          <w:color w:val="auto"/>
          <w:lang w:val="en-US" w:eastAsia="zh-CN"/>
        </w:rPr>
        <w:t>安全检查表分析法包括下列步骤：</w:t>
      </w:r>
    </w:p>
    <w:p w14:paraId="7BB52F38">
      <w:pPr>
        <w:bidi w:val="0"/>
        <w:rPr>
          <w:rFonts w:hint="eastAsia"/>
          <w:color w:val="auto"/>
          <w:lang w:val="en-US" w:eastAsia="zh-CN"/>
        </w:rPr>
      </w:pPr>
      <w:r>
        <w:rPr>
          <w:rFonts w:hint="eastAsia"/>
          <w:color w:val="auto"/>
          <w:lang w:val="en-US" w:eastAsia="zh-CN"/>
        </w:rPr>
        <w:t>1.选择或拟定合适的安全检查表；</w:t>
      </w:r>
    </w:p>
    <w:p w14:paraId="1E4D1C6D">
      <w:pPr>
        <w:bidi w:val="0"/>
        <w:rPr>
          <w:rFonts w:hint="eastAsia"/>
          <w:color w:val="auto"/>
          <w:lang w:val="en-US" w:eastAsia="zh-CN"/>
        </w:rPr>
      </w:pPr>
      <w:r>
        <w:rPr>
          <w:rFonts w:hint="eastAsia"/>
          <w:color w:val="auto"/>
          <w:lang w:val="en-US" w:eastAsia="zh-CN"/>
        </w:rPr>
        <w:t>2.完成分析；</w:t>
      </w:r>
    </w:p>
    <w:p w14:paraId="792F86BB">
      <w:pPr>
        <w:bidi w:val="0"/>
        <w:rPr>
          <w:rFonts w:hint="eastAsia"/>
          <w:color w:val="auto"/>
          <w:lang w:val="en-US" w:eastAsia="zh-CN"/>
        </w:rPr>
      </w:pPr>
      <w:r>
        <w:rPr>
          <w:rFonts w:hint="eastAsia"/>
          <w:color w:val="auto"/>
          <w:lang w:val="en-US" w:eastAsia="zh-CN"/>
        </w:rPr>
        <w:t>3.编制分析结果文件。</w:t>
      </w:r>
    </w:p>
    <w:p w14:paraId="3D4AF04F">
      <w:pPr>
        <w:pStyle w:val="5"/>
        <w:bidi w:val="0"/>
        <w:outlineLvl w:val="1"/>
        <w:rPr>
          <w:rFonts w:hint="eastAsia"/>
          <w:color w:val="auto"/>
          <w:lang w:val="en-US" w:eastAsia="zh-CN"/>
        </w:rPr>
      </w:pPr>
      <w:bookmarkStart w:id="428" w:name="_Toc451960217"/>
      <w:bookmarkStart w:id="429" w:name="_Toc15507"/>
      <w:bookmarkStart w:id="430" w:name="_Toc196106070"/>
      <w:bookmarkStart w:id="431" w:name="_Toc12736"/>
      <w:bookmarkStart w:id="432" w:name="_Toc20326"/>
      <w:bookmarkStart w:id="433" w:name="_Toc155628871"/>
      <w:r>
        <w:rPr>
          <w:rFonts w:hint="eastAsia"/>
          <w:color w:val="auto"/>
          <w:lang w:val="en-US" w:eastAsia="zh-CN"/>
        </w:rPr>
        <w:t>坝体稳定性分析</w:t>
      </w:r>
      <w:bookmarkEnd w:id="428"/>
      <w:bookmarkEnd w:id="429"/>
      <w:bookmarkEnd w:id="430"/>
      <w:bookmarkEnd w:id="431"/>
      <w:bookmarkEnd w:id="432"/>
      <w:bookmarkEnd w:id="433"/>
    </w:p>
    <w:p w14:paraId="6C33E2C6">
      <w:pPr>
        <w:bidi w:val="0"/>
        <w:rPr>
          <w:rFonts w:hint="eastAsia"/>
          <w:color w:val="auto"/>
          <w:lang w:val="en-US" w:eastAsia="zh-CN"/>
        </w:rPr>
      </w:pPr>
      <w:r>
        <w:rPr>
          <w:rFonts w:hint="eastAsia"/>
          <w:color w:val="auto"/>
          <w:lang w:val="en-US" w:eastAsia="zh-CN"/>
        </w:rPr>
        <w:t>尾矿坝的稳定分析方法主要有三大类：一是极限平衡法，如瑞典圆弧法、毕肖普法等；二是数值分析法：如有限元法、边界元法等；三是概率分析法或可靠性分析法：如蒙特卡洛法、一次二阶矩阵法。</w:t>
      </w:r>
    </w:p>
    <w:p w14:paraId="665BC912">
      <w:pPr>
        <w:bidi w:val="0"/>
        <w:rPr>
          <w:rFonts w:hint="eastAsia"/>
          <w:color w:val="auto"/>
          <w:lang w:val="en-US" w:eastAsia="zh-CN"/>
        </w:rPr>
      </w:pPr>
      <w:r>
        <w:rPr>
          <w:rFonts w:hint="eastAsia"/>
          <w:color w:val="auto"/>
          <w:lang w:val="en-US" w:eastAsia="zh-CN"/>
        </w:rPr>
        <w:t>目前，在尾矿坝的稳定性计算中，极限平衡法使用比较广泛，瑞典圆弧法和简化毕肖普法使用最为广泛。其中，瑞典圆弧法也是《尾矿设施设计规范》（GB50863-2013）和《尾矿库安全技术规程》（AQ2006-2005）规定采用的方法。</w:t>
      </w:r>
    </w:p>
    <w:p w14:paraId="016BEC1E">
      <w:pPr>
        <w:bidi w:val="0"/>
        <w:rPr>
          <w:rFonts w:hint="eastAsia"/>
          <w:color w:val="auto"/>
          <w:lang w:val="en-US" w:eastAsia="zh-CN"/>
        </w:rPr>
      </w:pPr>
      <w:r>
        <w:rPr>
          <w:rFonts w:hint="eastAsia"/>
          <w:color w:val="auto"/>
          <w:lang w:val="en-US" w:eastAsia="zh-CN"/>
        </w:rPr>
        <w:t>极限平衡法是假定分析的滑体为刚体，划分的条块之间不会变形，通过条块的受力平衡方程，来求解坝体和边坡的稳定系数。</w:t>
      </w:r>
    </w:p>
    <w:p w14:paraId="09A6A209">
      <w:pPr>
        <w:pStyle w:val="90"/>
        <w:jc w:val="center"/>
        <w:rPr>
          <w:color w:val="auto"/>
        </w:rPr>
      </w:pPr>
      <w:r>
        <w:rPr>
          <w:color w:val="auto"/>
        </w:rPr>
        <w:drawing>
          <wp:inline distT="0" distB="0" distL="114300" distR="114300">
            <wp:extent cx="3417570" cy="2685415"/>
            <wp:effectExtent l="0" t="0" r="0" b="6985"/>
            <wp:docPr id="1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2"/>
                    <pic:cNvPicPr>
                      <a:picLocks noChangeAspect="1"/>
                    </pic:cNvPicPr>
                  </pic:nvPicPr>
                  <pic:blipFill>
                    <a:blip r:embed="rId54" cstate="print"/>
                    <a:srcRect l="12076" r="16101"/>
                    <a:stretch>
                      <a:fillRect/>
                    </a:stretch>
                  </pic:blipFill>
                  <pic:spPr>
                    <a:xfrm>
                      <a:off x="0" y="0"/>
                      <a:ext cx="3417570" cy="2685415"/>
                    </a:xfrm>
                    <a:prstGeom prst="rect">
                      <a:avLst/>
                    </a:prstGeom>
                    <a:noFill/>
                    <a:ln w="9525">
                      <a:noFill/>
                    </a:ln>
                  </pic:spPr>
                </pic:pic>
              </a:graphicData>
            </a:graphic>
          </wp:inline>
        </w:drawing>
      </w:r>
    </w:p>
    <w:p w14:paraId="7C44979A">
      <w:pPr>
        <w:jc w:val="center"/>
        <w:rPr>
          <w:rFonts w:hint="eastAsia" w:ascii="宋体" w:hAnsi="宋体" w:cs="宋体"/>
          <w:b/>
          <w:bCs/>
          <w:color w:val="auto"/>
          <w:sz w:val="24"/>
        </w:rPr>
      </w:pPr>
      <w:r>
        <w:rPr>
          <w:rFonts w:hint="eastAsia" w:ascii="宋体" w:hAnsi="宋体" w:cs="宋体"/>
          <w:b/>
          <w:bCs/>
          <w:color w:val="auto"/>
          <w:sz w:val="24"/>
        </w:rPr>
        <w:t>图</w:t>
      </w:r>
      <w:r>
        <w:rPr>
          <w:rFonts w:hint="eastAsia" w:ascii="宋体" w:hAnsi="宋体" w:cs="宋体"/>
          <w:b/>
          <w:bCs/>
          <w:color w:val="auto"/>
          <w:sz w:val="24"/>
          <w:lang w:val="en-US" w:eastAsia="zh-CN"/>
        </w:rPr>
        <w:t>3</w:t>
      </w:r>
      <w:r>
        <w:rPr>
          <w:rFonts w:hint="eastAsia" w:ascii="宋体" w:hAnsi="宋体" w:cs="宋体"/>
          <w:b/>
          <w:bCs/>
          <w:color w:val="auto"/>
          <w:sz w:val="24"/>
        </w:rPr>
        <w:t>-1瑞典圆弧法的计算简图</w:t>
      </w:r>
    </w:p>
    <w:p w14:paraId="73A735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olor w:val="auto"/>
          <w:sz w:val="28"/>
          <w:szCs w:val="28"/>
        </w:rPr>
      </w:pPr>
      <w:r>
        <w:rPr>
          <w:rFonts w:hint="eastAsia" w:ascii="宋体" w:hAnsi="宋体"/>
          <w:color w:val="auto"/>
          <w:sz w:val="28"/>
          <w:szCs w:val="28"/>
        </w:rPr>
        <w:t>如图</w:t>
      </w:r>
      <w:r>
        <w:rPr>
          <w:rFonts w:hint="eastAsia" w:ascii="宋体" w:hAnsi="宋体"/>
          <w:color w:val="auto"/>
          <w:sz w:val="28"/>
          <w:szCs w:val="28"/>
          <w:lang w:val="en-US" w:eastAsia="zh-CN"/>
        </w:rPr>
        <w:t>3</w:t>
      </w:r>
      <w:r>
        <w:rPr>
          <w:rFonts w:hint="eastAsia" w:ascii="宋体" w:hAnsi="宋体"/>
          <w:color w:val="auto"/>
          <w:sz w:val="28"/>
          <w:szCs w:val="28"/>
        </w:rPr>
        <w:t>-1，取任意块条，通过</w:t>
      </w:r>
      <w:r>
        <w:rPr>
          <w:rFonts w:hint="eastAsia" w:ascii="宋体" w:hAnsi="宋体"/>
          <w:color w:val="auto"/>
          <w:sz w:val="28"/>
          <w:szCs w:val="28"/>
          <w:lang w:val="en-US" w:eastAsia="zh-CN"/>
        </w:rPr>
        <w:t>计算</w:t>
      </w:r>
      <w:r>
        <w:rPr>
          <w:rFonts w:hint="eastAsia" w:ascii="宋体" w:hAnsi="宋体"/>
          <w:color w:val="auto"/>
          <w:sz w:val="28"/>
          <w:szCs w:val="28"/>
        </w:rPr>
        <w:t>条块的X，Y方向的力矩平衡方程，得出用瑞典圆弧法计算稳定系数的表达式为：</w:t>
      </w:r>
    </w:p>
    <w:p w14:paraId="39506C9A">
      <w:pPr>
        <w:bidi w:val="0"/>
        <w:rPr>
          <w:color w:val="auto"/>
        </w:rPr>
      </w:pPr>
      <w:r>
        <w:rPr>
          <w:color w:val="auto"/>
        </w:rPr>
        <w:pict>
          <v:shape id="_x0000_s1026" o:spid="_x0000_s1026" o:spt="75" type="#_x0000_t75" style="position:absolute;left:0pt;margin-top:6.25pt;height:58.7pt;width:232.85pt;mso-position-horizontal:center;mso-wrap-distance-bottom:0pt;mso-wrap-distance-top:0pt;z-index:251660288;mso-width-relative:page;mso-height-relative:page;" o:ole="t" filled="f" o:preferrelative="t" stroked="f" coordsize="21600,21600" o:allowoverlap="f">
            <v:path/>
            <v:fill on="f" focussize="0,0"/>
            <v:stroke on="f" joinstyle="miter"/>
            <v:imagedata r:id="rId56" o:title=""/>
            <o:lock v:ext="edit" aspectratio="t"/>
            <w10:wrap type="topAndBottom"/>
          </v:shape>
          <o:OLEObject Type="Embed" ProgID="Equation.3" ShapeID="_x0000_s1026" DrawAspect="Content" ObjectID="_1468075725" r:id="rId55">
            <o:LockedField>false</o:LockedField>
          </o:OLEObject>
        </w:pict>
      </w:r>
      <w:r>
        <w:rPr>
          <w:rFonts w:hint="eastAsia"/>
          <w:color w:val="auto"/>
        </w:rPr>
        <w:t>式中：</w:t>
      </w:r>
      <w:r>
        <w:rPr>
          <w:color w:val="auto"/>
          <w:position w:val="-14"/>
        </w:rPr>
        <w:object>
          <v:shape id="_x0000_i1025" o:spt="75" type="#_x0000_t75" style="height:27.6pt;width:12pt;" o:ole="t" filled="f" o:preferrelative="t" stroked="f" coordsize="21600,21600">
            <v:path/>
            <v:fill on="f" focussize="0,0"/>
            <v:stroke on="f" joinstyle="miter"/>
            <v:imagedata r:id="rId58" o:title=""/>
            <o:lock v:ext="edit" aspectratio="t"/>
            <w10:wrap type="none"/>
            <w10:anchorlock/>
          </v:shape>
          <o:OLEObject Type="Embed" ProgID="Equation.3" ShapeID="_x0000_i1025" DrawAspect="Content" ObjectID="_1468075726" r:id="rId57">
            <o:LockedField>false</o:LockedField>
          </o:OLEObject>
        </w:object>
      </w:r>
      <w:r>
        <w:rPr>
          <w:rFonts w:hint="eastAsia"/>
          <w:color w:val="auto"/>
        </w:rPr>
        <w:t>——土体有效应力抗剪强度指标粘聚力，单位为kPa；</w:t>
      </w:r>
    </w:p>
    <w:p w14:paraId="479DF0A8">
      <w:pPr>
        <w:bidi w:val="0"/>
        <w:rPr>
          <w:color w:val="auto"/>
        </w:rPr>
      </w:pPr>
      <w:r>
        <w:rPr>
          <w:color w:val="auto"/>
          <w:position w:val="-16"/>
        </w:rPr>
        <w:object>
          <v:shape id="_x0000_i1026" o:spt="75" type="#_x0000_t75" style="height:29.4pt;width:13.8pt;" o:ole="t" filled="f" o:preferrelative="t" stroked="f" coordsize="21600,21600">
            <v:path/>
            <v:fill on="f" focussize="0,0"/>
            <v:stroke on="f" joinstyle="miter"/>
            <v:imagedata r:id="rId60" o:title=""/>
            <o:lock v:ext="edit" aspectratio="t"/>
            <w10:wrap type="none"/>
            <w10:anchorlock/>
          </v:shape>
          <o:OLEObject Type="Embed" ProgID="Equation.3" ShapeID="_x0000_i1026" DrawAspect="Content" ObjectID="_1468075727" r:id="rId59">
            <o:LockedField>false</o:LockedField>
          </o:OLEObject>
        </w:object>
      </w:r>
      <w:r>
        <w:rPr>
          <w:rFonts w:hint="eastAsia"/>
          <w:color w:val="auto"/>
        </w:rPr>
        <w:t>——土体有效应力抗剪强度指标内摩擦角，单位为度；</w:t>
      </w:r>
    </w:p>
    <w:p w14:paraId="3279C2CB">
      <w:pPr>
        <w:bidi w:val="0"/>
        <w:rPr>
          <w:color w:val="auto"/>
        </w:rPr>
      </w:pPr>
      <w:r>
        <w:rPr>
          <w:color w:val="auto"/>
          <w:position w:val="-14"/>
        </w:rPr>
        <w:object>
          <v:shape id="_x0000_i1027" o:spt="75" type="#_x0000_t75" style="height:19.8pt;width:18.6pt;" o:ole="t" filled="f" o:preferrelative="t" stroked="f" coordsize="21600,21600">
            <v:path/>
            <v:fill on="f" focussize="0,0"/>
            <v:stroke on="f" joinstyle="miter"/>
            <v:imagedata r:id="rId62" o:title=""/>
            <o:lock v:ext="edit" aspectratio="t"/>
            <w10:wrap type="none"/>
            <w10:anchorlock/>
          </v:shape>
          <o:OLEObject Type="Embed" ProgID="Equation.3" ShapeID="_x0000_i1027" DrawAspect="Content" ObjectID="_1468075728" r:id="rId61">
            <o:LockedField>false</o:LockedField>
          </o:OLEObject>
        </w:object>
      </w:r>
      <w:r>
        <w:rPr>
          <w:rFonts w:hint="eastAsia"/>
          <w:color w:val="auto"/>
        </w:rPr>
        <w:t>——条块重心点到滑弧圆心的力臂，单位为</w:t>
      </w:r>
      <w:r>
        <w:rPr>
          <w:rFonts w:hint="eastAsia"/>
          <w:color w:val="auto"/>
          <w:lang w:eastAsia="zh-CN"/>
        </w:rPr>
        <w:t>m</w:t>
      </w:r>
      <w:r>
        <w:rPr>
          <w:rFonts w:hint="eastAsia"/>
          <w:color w:val="auto"/>
        </w:rPr>
        <w:t>；</w:t>
      </w:r>
    </w:p>
    <w:p w14:paraId="32190BD7">
      <w:pPr>
        <w:bidi w:val="0"/>
        <w:rPr>
          <w:color w:val="auto"/>
        </w:rPr>
      </w:pPr>
      <w:r>
        <w:rPr>
          <w:rFonts w:hint="eastAsia"/>
          <w:color w:val="auto"/>
        </w:rPr>
        <w:t>R——滑弧的半径，单位为</w:t>
      </w:r>
      <w:r>
        <w:rPr>
          <w:rFonts w:hint="eastAsia"/>
          <w:color w:val="auto"/>
          <w:lang w:eastAsia="zh-CN"/>
        </w:rPr>
        <w:t>m</w:t>
      </w:r>
      <w:r>
        <w:rPr>
          <w:rFonts w:hint="eastAsia"/>
          <w:color w:val="auto"/>
        </w:rPr>
        <w:t>；</w:t>
      </w:r>
    </w:p>
    <w:p w14:paraId="757B7D19">
      <w:pPr>
        <w:bidi w:val="0"/>
        <w:rPr>
          <w:color w:val="auto"/>
        </w:rPr>
      </w:pPr>
      <w:r>
        <w:rPr>
          <w:rFonts w:hint="eastAsia"/>
          <w:color w:val="auto"/>
        </w:rPr>
        <w:t>Cs——地震系数，一般为0.03～0.27；</w:t>
      </w:r>
    </w:p>
    <w:p w14:paraId="1892BDB2">
      <w:pPr>
        <w:bidi w:val="0"/>
        <w:rPr>
          <w:color w:val="auto"/>
        </w:rPr>
      </w:pPr>
      <w:r>
        <w:rPr>
          <w:rFonts w:hint="eastAsia"/>
          <w:color w:val="auto"/>
        </w:rPr>
        <w:t>Wi——条块的土重量，单位为kN；</w:t>
      </w:r>
    </w:p>
    <w:p w14:paraId="35D2AA3E">
      <w:pPr>
        <w:bidi w:val="0"/>
        <w:rPr>
          <w:rFonts w:hint="eastAsia"/>
          <w:color w:val="auto"/>
        </w:rPr>
      </w:pPr>
      <w:r>
        <w:rPr>
          <w:color w:val="auto"/>
          <w:position w:val="-14"/>
        </w:rPr>
        <w:object>
          <v:shape id="_x0000_i1028" o:spt="75" type="#_x0000_t75" style="height:19.8pt;width:16.2pt;" o:ole="t" filled="f" o:preferrelative="t" stroked="f" coordsize="21600,21600">
            <v:path/>
            <v:fill on="f" focussize="0,0"/>
            <v:stroke on="f" joinstyle="miter"/>
            <v:imagedata r:id="rId64" o:title=""/>
            <o:lock v:ext="edit" aspectratio="t"/>
            <w10:wrap type="none"/>
            <w10:anchorlock/>
          </v:shape>
          <o:OLEObject Type="Embed" ProgID="Equation.3" ShapeID="_x0000_i1028" DrawAspect="Content" ObjectID="_1468075729" r:id="rId63">
            <o:LockedField>false</o:LockedField>
          </o:OLEObject>
        </w:object>
      </w:r>
      <w:r>
        <w:rPr>
          <w:rFonts w:hint="eastAsia"/>
          <w:color w:val="auto"/>
        </w:rPr>
        <w:t>——条块滑面的倾角，单位为度；</w:t>
      </w:r>
    </w:p>
    <w:p w14:paraId="6745EF53">
      <w:pPr>
        <w:pStyle w:val="5"/>
        <w:bidi w:val="0"/>
        <w:rPr>
          <w:rFonts w:hint="eastAsia"/>
          <w:color w:val="auto"/>
          <w:lang w:val="en-US" w:eastAsia="zh-CN"/>
        </w:rPr>
      </w:pPr>
      <w:bookmarkStart w:id="434" w:name="_Toc15460"/>
      <w:bookmarkStart w:id="435" w:name="_Toc32071"/>
      <w:r>
        <w:rPr>
          <w:rFonts w:hint="eastAsia"/>
          <w:color w:val="auto"/>
          <w:lang w:val="en-US" w:eastAsia="zh-CN"/>
        </w:rPr>
        <w:t>作业条件危险性评价法</w:t>
      </w:r>
      <w:bookmarkEnd w:id="434"/>
      <w:bookmarkEnd w:id="435"/>
    </w:p>
    <w:p w14:paraId="0DEE51F8">
      <w:pPr>
        <w:bidi w:val="0"/>
        <w:rPr>
          <w:rFonts w:hint="eastAsia"/>
          <w:color w:val="auto"/>
          <w:lang w:val="en-US" w:eastAsia="zh-CN"/>
        </w:rPr>
      </w:pPr>
      <w:r>
        <w:rPr>
          <w:rFonts w:hint="eastAsia"/>
          <w:color w:val="auto"/>
          <w:lang w:val="en-US" w:eastAsia="zh-CN"/>
        </w:rPr>
        <w:t>采用作业条件危险性评价法（LEC法）是评价人们在具有潜在危险性环境中作业时的危险性半定量评价方法。它是用与系统风险率有关的3种因素指标值之积来评价系统人员伤亡风险大小，这3种因素是：L为发生事故的可能性大小；E为人体暴露在这种危险环境中的频繁程度；C为一旦发生事故会造成的损失后果。</w:t>
      </w:r>
    </w:p>
    <w:p w14:paraId="394ACB71">
      <w:pPr>
        <w:bidi w:val="0"/>
        <w:rPr>
          <w:rFonts w:hint="eastAsia" w:eastAsiaTheme="minorEastAsia"/>
          <w:color w:val="auto"/>
          <w:szCs w:val="28"/>
          <w:lang w:val="en-US" w:eastAsia="zh-CN"/>
        </w:rPr>
      </w:pPr>
      <w:r>
        <w:rPr>
          <w:rFonts w:hint="eastAsia"/>
          <w:color w:val="auto"/>
          <w:lang w:val="en-US" w:eastAsia="zh-CN"/>
        </w:rPr>
        <w:t>取得这3种因素的科学准确的数据是相当繁琐的过程，为了简化评价过程，采取半定量计值法，给3种因素的不同等级分别确定不同的分值，再以3个分值的乘积D来评价危险性的大小；即危险性分值D＝LEC。</w:t>
      </w:r>
    </w:p>
    <w:p w14:paraId="37E92C28">
      <w:pPr>
        <w:spacing w:before="163" w:beforeLines="50"/>
        <w:jc w:val="center"/>
        <w:rPr>
          <w:rFonts w:hint="eastAsia" w:ascii="宋体" w:hAnsi="宋体" w:eastAsia="宋体" w:cs="宋体"/>
          <w:b/>
          <w:color w:val="auto"/>
          <w:sz w:val="24"/>
        </w:rPr>
      </w:pPr>
      <w:r>
        <w:rPr>
          <w:rFonts w:hint="eastAsia" w:ascii="宋体" w:hAnsi="宋体" w:eastAsia="宋体" w:cs="宋体"/>
          <w:b/>
          <w:color w:val="auto"/>
          <w:sz w:val="24"/>
        </w:rPr>
        <w:t>表</w:t>
      </w:r>
      <w:r>
        <w:rPr>
          <w:rFonts w:hint="eastAsia" w:ascii="宋体" w:hAnsi="宋体" w:cs="宋体"/>
          <w:b/>
          <w:color w:val="auto"/>
          <w:sz w:val="24"/>
          <w:lang w:val="en-US" w:eastAsia="zh-CN"/>
        </w:rPr>
        <w:t>3</w:t>
      </w:r>
      <w:r>
        <w:rPr>
          <w:rFonts w:hint="eastAsia" w:ascii="宋体" w:hAnsi="宋体" w:eastAsia="宋体" w:cs="宋体"/>
          <w:b/>
          <w:color w:val="auto"/>
          <w:sz w:val="24"/>
        </w:rPr>
        <w:t>-</w:t>
      </w:r>
      <w:r>
        <w:rPr>
          <w:rFonts w:hint="eastAsia" w:ascii="宋体" w:hAnsi="宋体" w:eastAsia="宋体" w:cs="宋体"/>
          <w:b/>
          <w:color w:val="auto"/>
          <w:sz w:val="24"/>
          <w:lang w:val="en-US" w:eastAsia="zh-CN"/>
        </w:rPr>
        <w:t>1</w:t>
      </w:r>
      <w:r>
        <w:rPr>
          <w:rFonts w:hint="eastAsia" w:ascii="宋体" w:hAnsi="宋体" w:eastAsia="宋体" w:cs="宋体"/>
          <w:b/>
          <w:color w:val="auto"/>
          <w:sz w:val="24"/>
        </w:rPr>
        <w:t>事故或危险事件发生的可能性分值（L）</w:t>
      </w:r>
    </w:p>
    <w:tbl>
      <w:tblPr>
        <w:tblStyle w:val="57"/>
        <w:tblW w:w="47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2"/>
        <w:gridCol w:w="3229"/>
        <w:gridCol w:w="1174"/>
        <w:gridCol w:w="3330"/>
      </w:tblGrid>
      <w:tr w14:paraId="40DBD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643" w:type="pct"/>
            <w:noWrap w:val="0"/>
            <w:vAlign w:val="center"/>
          </w:tcPr>
          <w:p w14:paraId="015E9D2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分值</w:t>
            </w:r>
          </w:p>
        </w:tc>
        <w:tc>
          <w:tcPr>
            <w:tcW w:w="1818" w:type="pct"/>
            <w:noWrap w:val="0"/>
            <w:vAlign w:val="center"/>
          </w:tcPr>
          <w:p w14:paraId="7C520C8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事故或危险事件发生的可能性</w:t>
            </w:r>
          </w:p>
        </w:tc>
        <w:tc>
          <w:tcPr>
            <w:tcW w:w="661" w:type="pct"/>
            <w:noWrap w:val="0"/>
            <w:vAlign w:val="center"/>
          </w:tcPr>
          <w:p w14:paraId="2E2926B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分值</w:t>
            </w:r>
          </w:p>
        </w:tc>
        <w:tc>
          <w:tcPr>
            <w:tcW w:w="1875" w:type="pct"/>
            <w:noWrap w:val="0"/>
            <w:vAlign w:val="center"/>
          </w:tcPr>
          <w:p w14:paraId="3CC7659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事故或危险事件发生的可能性</w:t>
            </w:r>
          </w:p>
        </w:tc>
      </w:tr>
      <w:tr w14:paraId="4D133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643" w:type="pct"/>
            <w:noWrap w:val="0"/>
            <w:vAlign w:val="center"/>
          </w:tcPr>
          <w:p w14:paraId="74D56B0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10</w:t>
            </w:r>
          </w:p>
        </w:tc>
        <w:tc>
          <w:tcPr>
            <w:tcW w:w="1818" w:type="pct"/>
            <w:noWrap w:val="0"/>
            <w:vAlign w:val="center"/>
          </w:tcPr>
          <w:p w14:paraId="2727004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完全会被预料到</w:t>
            </w:r>
          </w:p>
        </w:tc>
        <w:tc>
          <w:tcPr>
            <w:tcW w:w="661" w:type="pct"/>
            <w:noWrap w:val="0"/>
            <w:vAlign w:val="center"/>
          </w:tcPr>
          <w:p w14:paraId="2A4BF56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0.5</w:t>
            </w:r>
          </w:p>
        </w:tc>
        <w:tc>
          <w:tcPr>
            <w:tcW w:w="1875" w:type="pct"/>
            <w:noWrap w:val="0"/>
            <w:vAlign w:val="center"/>
          </w:tcPr>
          <w:p w14:paraId="5E9FDF1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很不可能，可以设想</w:t>
            </w:r>
          </w:p>
        </w:tc>
      </w:tr>
      <w:tr w14:paraId="098B1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643" w:type="pct"/>
            <w:noWrap w:val="0"/>
            <w:vAlign w:val="center"/>
          </w:tcPr>
          <w:p w14:paraId="593A180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6</w:t>
            </w:r>
          </w:p>
        </w:tc>
        <w:tc>
          <w:tcPr>
            <w:tcW w:w="1818" w:type="pct"/>
            <w:noWrap w:val="0"/>
            <w:vAlign w:val="center"/>
          </w:tcPr>
          <w:p w14:paraId="3D252DA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相当可能</w:t>
            </w:r>
          </w:p>
        </w:tc>
        <w:tc>
          <w:tcPr>
            <w:tcW w:w="661" w:type="pct"/>
            <w:noWrap w:val="0"/>
            <w:vAlign w:val="center"/>
          </w:tcPr>
          <w:p w14:paraId="57B5582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0.2</w:t>
            </w:r>
          </w:p>
        </w:tc>
        <w:tc>
          <w:tcPr>
            <w:tcW w:w="1875" w:type="pct"/>
            <w:noWrap w:val="0"/>
            <w:vAlign w:val="center"/>
          </w:tcPr>
          <w:p w14:paraId="437BAD1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极不可能</w:t>
            </w:r>
          </w:p>
        </w:tc>
      </w:tr>
      <w:tr w14:paraId="25AE0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643" w:type="pct"/>
            <w:noWrap w:val="0"/>
            <w:vAlign w:val="center"/>
          </w:tcPr>
          <w:p w14:paraId="44D2208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3</w:t>
            </w:r>
          </w:p>
        </w:tc>
        <w:tc>
          <w:tcPr>
            <w:tcW w:w="1818" w:type="pct"/>
            <w:noWrap w:val="0"/>
            <w:vAlign w:val="center"/>
          </w:tcPr>
          <w:p w14:paraId="22BA57F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不经常，但有可能</w:t>
            </w:r>
          </w:p>
        </w:tc>
        <w:tc>
          <w:tcPr>
            <w:tcW w:w="661" w:type="pct"/>
            <w:noWrap w:val="0"/>
            <w:vAlign w:val="center"/>
          </w:tcPr>
          <w:p w14:paraId="0231C87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0.1</w:t>
            </w:r>
          </w:p>
        </w:tc>
        <w:tc>
          <w:tcPr>
            <w:tcW w:w="1875" w:type="pct"/>
            <w:noWrap w:val="0"/>
            <w:vAlign w:val="center"/>
          </w:tcPr>
          <w:p w14:paraId="4FC2757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实际上不可能</w:t>
            </w:r>
          </w:p>
        </w:tc>
      </w:tr>
      <w:tr w14:paraId="458EB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643" w:type="pct"/>
            <w:noWrap w:val="0"/>
            <w:vAlign w:val="center"/>
          </w:tcPr>
          <w:p w14:paraId="56EF222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1</w:t>
            </w:r>
          </w:p>
        </w:tc>
        <w:tc>
          <w:tcPr>
            <w:tcW w:w="1818" w:type="pct"/>
            <w:noWrap w:val="0"/>
            <w:vAlign w:val="center"/>
          </w:tcPr>
          <w:p w14:paraId="3205061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可能性小，完全意外</w:t>
            </w:r>
          </w:p>
        </w:tc>
        <w:tc>
          <w:tcPr>
            <w:tcW w:w="661" w:type="pct"/>
            <w:noWrap w:val="0"/>
            <w:vAlign w:val="center"/>
          </w:tcPr>
          <w:p w14:paraId="49F95DE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p>
        </w:tc>
        <w:tc>
          <w:tcPr>
            <w:tcW w:w="1875" w:type="pct"/>
            <w:noWrap w:val="0"/>
            <w:vAlign w:val="center"/>
          </w:tcPr>
          <w:p w14:paraId="54B4F78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p>
        </w:tc>
      </w:tr>
    </w:tbl>
    <w:p w14:paraId="5A63BEAA">
      <w:pPr>
        <w:spacing w:before="163" w:beforeLines="50"/>
        <w:jc w:val="center"/>
        <w:rPr>
          <w:rFonts w:hint="eastAsia" w:ascii="宋体" w:hAnsi="宋体" w:eastAsia="宋体" w:cs="宋体"/>
          <w:b/>
          <w:color w:val="auto"/>
          <w:sz w:val="24"/>
        </w:rPr>
      </w:pPr>
      <w:r>
        <w:rPr>
          <w:rFonts w:hint="eastAsia" w:ascii="宋体" w:hAnsi="宋体" w:eastAsia="宋体" w:cs="宋体"/>
          <w:b/>
          <w:color w:val="auto"/>
          <w:sz w:val="24"/>
        </w:rPr>
        <w:t>表</w:t>
      </w:r>
      <w:r>
        <w:rPr>
          <w:rFonts w:hint="eastAsia" w:ascii="宋体" w:hAnsi="宋体" w:cs="宋体"/>
          <w:b/>
          <w:color w:val="auto"/>
          <w:sz w:val="24"/>
          <w:lang w:val="en-US" w:eastAsia="zh-CN"/>
        </w:rPr>
        <w:t>3</w:t>
      </w:r>
      <w:r>
        <w:rPr>
          <w:rFonts w:hint="eastAsia" w:ascii="宋体" w:hAnsi="宋体" w:eastAsia="宋体" w:cs="宋体"/>
          <w:b/>
          <w:color w:val="auto"/>
          <w:sz w:val="24"/>
        </w:rPr>
        <w:t>-</w:t>
      </w:r>
      <w:r>
        <w:rPr>
          <w:rFonts w:hint="eastAsia" w:ascii="宋体" w:hAnsi="宋体" w:eastAsia="宋体" w:cs="宋体"/>
          <w:b/>
          <w:color w:val="auto"/>
          <w:sz w:val="24"/>
          <w:lang w:val="en-US" w:eastAsia="zh-CN"/>
        </w:rPr>
        <w:t>2人员、设备</w:t>
      </w:r>
      <w:r>
        <w:rPr>
          <w:rFonts w:hint="eastAsia" w:ascii="宋体" w:hAnsi="宋体" w:eastAsia="宋体" w:cs="宋体"/>
          <w:b/>
          <w:color w:val="auto"/>
          <w:sz w:val="24"/>
        </w:rPr>
        <w:t>暴露于危险环境的频率分值（E）</w:t>
      </w:r>
    </w:p>
    <w:tbl>
      <w:tblPr>
        <w:tblStyle w:val="57"/>
        <w:tblpPr w:leftFromText="180" w:rightFromText="180" w:vertAnchor="text" w:horzAnchor="margin" w:tblpX="191" w:tblpY="164"/>
        <w:tblW w:w="482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
        <w:gridCol w:w="3418"/>
        <w:gridCol w:w="980"/>
        <w:gridCol w:w="3534"/>
      </w:tblGrid>
      <w:tr w14:paraId="41EA9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577" w:type="pct"/>
            <w:noWrap w:val="0"/>
            <w:vAlign w:val="center"/>
          </w:tcPr>
          <w:p w14:paraId="4F27290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分值</w:t>
            </w:r>
          </w:p>
        </w:tc>
        <w:tc>
          <w:tcPr>
            <w:tcW w:w="1905" w:type="pct"/>
            <w:noWrap w:val="0"/>
            <w:vAlign w:val="center"/>
          </w:tcPr>
          <w:p w14:paraId="35C8401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暴露于危险环境的频繁程度</w:t>
            </w:r>
          </w:p>
        </w:tc>
        <w:tc>
          <w:tcPr>
            <w:tcW w:w="546" w:type="pct"/>
            <w:noWrap w:val="0"/>
            <w:vAlign w:val="center"/>
          </w:tcPr>
          <w:p w14:paraId="545FDB0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分值</w:t>
            </w:r>
          </w:p>
        </w:tc>
        <w:tc>
          <w:tcPr>
            <w:tcW w:w="1970" w:type="pct"/>
            <w:noWrap w:val="0"/>
            <w:vAlign w:val="center"/>
          </w:tcPr>
          <w:p w14:paraId="51DB0F6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暴露于危险环境的频繁程度</w:t>
            </w:r>
          </w:p>
        </w:tc>
      </w:tr>
      <w:tr w14:paraId="3A1C7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577" w:type="pct"/>
            <w:noWrap w:val="0"/>
            <w:vAlign w:val="center"/>
          </w:tcPr>
          <w:p w14:paraId="50C0089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10</w:t>
            </w:r>
          </w:p>
        </w:tc>
        <w:tc>
          <w:tcPr>
            <w:tcW w:w="1905" w:type="pct"/>
            <w:noWrap w:val="0"/>
            <w:vAlign w:val="center"/>
          </w:tcPr>
          <w:p w14:paraId="1412EB3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连续暴露于潜在危险环境</w:t>
            </w:r>
          </w:p>
        </w:tc>
        <w:tc>
          <w:tcPr>
            <w:tcW w:w="546" w:type="pct"/>
            <w:noWrap w:val="0"/>
            <w:vAlign w:val="center"/>
          </w:tcPr>
          <w:p w14:paraId="38E9BAF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2</w:t>
            </w:r>
          </w:p>
        </w:tc>
        <w:tc>
          <w:tcPr>
            <w:tcW w:w="1970" w:type="pct"/>
            <w:noWrap w:val="0"/>
            <w:vAlign w:val="center"/>
          </w:tcPr>
          <w:p w14:paraId="0DE0AD3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每月一次暴露</w:t>
            </w:r>
          </w:p>
        </w:tc>
      </w:tr>
      <w:tr w14:paraId="0C649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577" w:type="pct"/>
            <w:noWrap w:val="0"/>
            <w:vAlign w:val="center"/>
          </w:tcPr>
          <w:p w14:paraId="54212F0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6</w:t>
            </w:r>
          </w:p>
        </w:tc>
        <w:tc>
          <w:tcPr>
            <w:tcW w:w="1905" w:type="pct"/>
            <w:noWrap w:val="0"/>
            <w:vAlign w:val="center"/>
          </w:tcPr>
          <w:p w14:paraId="0608F80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每日在工作时间内暴露</w:t>
            </w:r>
          </w:p>
        </w:tc>
        <w:tc>
          <w:tcPr>
            <w:tcW w:w="546" w:type="pct"/>
            <w:noWrap w:val="0"/>
            <w:vAlign w:val="center"/>
          </w:tcPr>
          <w:p w14:paraId="2DB0C33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1</w:t>
            </w:r>
          </w:p>
        </w:tc>
        <w:tc>
          <w:tcPr>
            <w:tcW w:w="1970" w:type="pct"/>
            <w:noWrap w:val="0"/>
            <w:vAlign w:val="center"/>
          </w:tcPr>
          <w:p w14:paraId="56A832D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每年几次出现在潜在危险环境</w:t>
            </w:r>
          </w:p>
        </w:tc>
      </w:tr>
      <w:tr w14:paraId="09C2B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577" w:type="pct"/>
            <w:noWrap w:val="0"/>
            <w:vAlign w:val="center"/>
          </w:tcPr>
          <w:p w14:paraId="74B84AB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3</w:t>
            </w:r>
          </w:p>
        </w:tc>
        <w:tc>
          <w:tcPr>
            <w:tcW w:w="1905" w:type="pct"/>
            <w:noWrap w:val="0"/>
            <w:vAlign w:val="center"/>
          </w:tcPr>
          <w:p w14:paraId="134C800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每周一次暴露或偶然的暴露</w:t>
            </w:r>
          </w:p>
        </w:tc>
        <w:tc>
          <w:tcPr>
            <w:tcW w:w="546" w:type="pct"/>
            <w:noWrap w:val="0"/>
            <w:vAlign w:val="center"/>
          </w:tcPr>
          <w:p w14:paraId="0E1CAD5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0.5</w:t>
            </w:r>
          </w:p>
        </w:tc>
        <w:tc>
          <w:tcPr>
            <w:tcW w:w="1970" w:type="pct"/>
            <w:noWrap w:val="0"/>
            <w:vAlign w:val="center"/>
          </w:tcPr>
          <w:p w14:paraId="35CC20F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非常罕见的暴露</w:t>
            </w:r>
          </w:p>
        </w:tc>
      </w:tr>
    </w:tbl>
    <w:p w14:paraId="7B6EDC4D">
      <w:pPr>
        <w:spacing w:before="163" w:beforeLines="50"/>
        <w:jc w:val="center"/>
        <w:rPr>
          <w:rFonts w:hint="eastAsia" w:ascii="宋体" w:hAnsi="宋体" w:eastAsia="宋体" w:cs="宋体"/>
          <w:b/>
          <w:color w:val="auto"/>
          <w:sz w:val="24"/>
        </w:rPr>
      </w:pPr>
      <w:r>
        <w:rPr>
          <w:rFonts w:hint="eastAsia" w:ascii="宋体" w:hAnsi="宋体" w:eastAsia="宋体" w:cs="宋体"/>
          <w:b/>
          <w:color w:val="auto"/>
          <w:sz w:val="24"/>
        </w:rPr>
        <w:t>表</w:t>
      </w:r>
      <w:r>
        <w:rPr>
          <w:rFonts w:hint="eastAsia" w:ascii="宋体" w:hAnsi="宋体" w:cs="宋体"/>
          <w:b/>
          <w:color w:val="auto"/>
          <w:sz w:val="24"/>
          <w:lang w:val="en-US" w:eastAsia="zh-CN"/>
        </w:rPr>
        <w:t>3</w:t>
      </w:r>
      <w:r>
        <w:rPr>
          <w:rFonts w:hint="eastAsia" w:ascii="宋体" w:hAnsi="宋体" w:eastAsia="宋体" w:cs="宋体"/>
          <w:b/>
          <w:color w:val="auto"/>
          <w:sz w:val="24"/>
        </w:rPr>
        <w:t>-</w:t>
      </w:r>
      <w:r>
        <w:rPr>
          <w:rFonts w:hint="eastAsia" w:ascii="宋体" w:hAnsi="宋体" w:eastAsia="宋体" w:cs="宋体"/>
          <w:b/>
          <w:color w:val="auto"/>
          <w:sz w:val="24"/>
          <w:lang w:val="en-US" w:eastAsia="zh-CN"/>
        </w:rPr>
        <w:t>3</w:t>
      </w:r>
      <w:r>
        <w:rPr>
          <w:rFonts w:hint="eastAsia" w:ascii="宋体" w:hAnsi="宋体" w:eastAsia="宋体" w:cs="宋体"/>
          <w:b/>
          <w:color w:val="auto"/>
          <w:sz w:val="24"/>
        </w:rPr>
        <w:t>发现事故或危险事件可能后果分值（</w:t>
      </w:r>
      <w:r>
        <w:rPr>
          <w:rFonts w:hint="eastAsia" w:ascii="宋体" w:hAnsi="宋体" w:eastAsia="宋体" w:cs="宋体"/>
          <w:b/>
          <w:color w:val="auto"/>
          <w:sz w:val="24"/>
          <w:lang w:val="en-US" w:eastAsia="zh-CN"/>
        </w:rPr>
        <w:t>C</w:t>
      </w:r>
      <w:r>
        <w:rPr>
          <w:rFonts w:hint="eastAsia" w:ascii="宋体" w:hAnsi="宋体" w:eastAsia="宋体" w:cs="宋体"/>
          <w:b/>
          <w:color w:val="auto"/>
          <w:sz w:val="24"/>
        </w:rPr>
        <w:t>）</w:t>
      </w:r>
    </w:p>
    <w:tbl>
      <w:tblPr>
        <w:tblStyle w:val="57"/>
        <w:tblW w:w="48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4355"/>
        <w:gridCol w:w="711"/>
        <w:gridCol w:w="3331"/>
      </w:tblGrid>
      <w:tr w14:paraId="45890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68" w:type="pct"/>
            <w:noWrap w:val="0"/>
            <w:vAlign w:val="center"/>
          </w:tcPr>
          <w:p w14:paraId="22304C1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分值</w:t>
            </w:r>
          </w:p>
        </w:tc>
        <w:tc>
          <w:tcPr>
            <w:tcW w:w="2401" w:type="pct"/>
            <w:noWrap w:val="0"/>
            <w:vAlign w:val="center"/>
          </w:tcPr>
          <w:p w14:paraId="63569C6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可能结果</w:t>
            </w:r>
          </w:p>
        </w:tc>
        <w:tc>
          <w:tcPr>
            <w:tcW w:w="392" w:type="pct"/>
            <w:noWrap w:val="0"/>
            <w:vAlign w:val="center"/>
          </w:tcPr>
          <w:p w14:paraId="2287D7F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分值</w:t>
            </w:r>
          </w:p>
        </w:tc>
        <w:tc>
          <w:tcPr>
            <w:tcW w:w="1837" w:type="pct"/>
            <w:noWrap w:val="0"/>
            <w:vAlign w:val="center"/>
          </w:tcPr>
          <w:p w14:paraId="3BD494D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可能结果</w:t>
            </w:r>
          </w:p>
        </w:tc>
      </w:tr>
      <w:tr w14:paraId="6996F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68" w:type="pct"/>
            <w:noWrap w:val="0"/>
            <w:vAlign w:val="center"/>
          </w:tcPr>
          <w:p w14:paraId="065B806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100</w:t>
            </w:r>
          </w:p>
        </w:tc>
        <w:tc>
          <w:tcPr>
            <w:tcW w:w="2401" w:type="pct"/>
            <w:noWrap w:val="0"/>
            <w:vAlign w:val="center"/>
          </w:tcPr>
          <w:p w14:paraId="385DAEA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大灾难，许多人死亡，或造成重大财产损失</w:t>
            </w:r>
          </w:p>
        </w:tc>
        <w:tc>
          <w:tcPr>
            <w:tcW w:w="392" w:type="pct"/>
            <w:noWrap w:val="0"/>
            <w:vAlign w:val="center"/>
          </w:tcPr>
          <w:p w14:paraId="6FA5AE2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7</w:t>
            </w:r>
          </w:p>
        </w:tc>
        <w:tc>
          <w:tcPr>
            <w:tcW w:w="1837" w:type="pct"/>
            <w:noWrap w:val="0"/>
            <w:vAlign w:val="center"/>
          </w:tcPr>
          <w:p w14:paraId="2082ECB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严重伤害，或造成较小的财产损失</w:t>
            </w:r>
          </w:p>
        </w:tc>
      </w:tr>
      <w:tr w14:paraId="30BDC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68" w:type="pct"/>
            <w:noWrap w:val="0"/>
            <w:vAlign w:val="center"/>
          </w:tcPr>
          <w:p w14:paraId="3C9046B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40</w:t>
            </w:r>
          </w:p>
        </w:tc>
        <w:tc>
          <w:tcPr>
            <w:tcW w:w="2401" w:type="pct"/>
            <w:noWrap w:val="0"/>
            <w:vAlign w:val="center"/>
          </w:tcPr>
          <w:p w14:paraId="78FACE1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灾难，数人死亡，或造成很大财产损失</w:t>
            </w:r>
          </w:p>
        </w:tc>
        <w:tc>
          <w:tcPr>
            <w:tcW w:w="392" w:type="pct"/>
            <w:noWrap w:val="0"/>
            <w:vAlign w:val="center"/>
          </w:tcPr>
          <w:p w14:paraId="1DC67BD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3</w:t>
            </w:r>
          </w:p>
        </w:tc>
        <w:tc>
          <w:tcPr>
            <w:tcW w:w="1837" w:type="pct"/>
            <w:noWrap w:val="0"/>
            <w:vAlign w:val="center"/>
          </w:tcPr>
          <w:p w14:paraId="433A92A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重大，伤残，或很小的财产损失</w:t>
            </w:r>
          </w:p>
        </w:tc>
      </w:tr>
      <w:tr w14:paraId="011E3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68" w:type="pct"/>
            <w:noWrap w:val="0"/>
            <w:vAlign w:val="center"/>
          </w:tcPr>
          <w:p w14:paraId="1FD682E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15</w:t>
            </w:r>
          </w:p>
        </w:tc>
        <w:tc>
          <w:tcPr>
            <w:tcW w:w="2401" w:type="pct"/>
            <w:noWrap w:val="0"/>
            <w:vAlign w:val="center"/>
          </w:tcPr>
          <w:p w14:paraId="777B43C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非常严重，一人死亡，或造成一定的财产损失</w:t>
            </w:r>
          </w:p>
        </w:tc>
        <w:tc>
          <w:tcPr>
            <w:tcW w:w="392" w:type="pct"/>
            <w:noWrap w:val="0"/>
            <w:vAlign w:val="center"/>
          </w:tcPr>
          <w:p w14:paraId="7106E23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1</w:t>
            </w:r>
          </w:p>
        </w:tc>
        <w:tc>
          <w:tcPr>
            <w:tcW w:w="1837" w:type="pct"/>
            <w:noWrap w:val="0"/>
            <w:vAlign w:val="center"/>
          </w:tcPr>
          <w:p w14:paraId="128A51E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引人注目</w:t>
            </w:r>
          </w:p>
        </w:tc>
      </w:tr>
    </w:tbl>
    <w:p w14:paraId="5D616CF3">
      <w:pPr>
        <w:autoSpaceDE w:val="0"/>
        <w:autoSpaceDN w:val="0"/>
        <w:adjustRightInd w:val="0"/>
        <w:spacing w:line="360" w:lineRule="auto"/>
        <w:ind w:right="51"/>
        <w:jc w:val="center"/>
        <w:rPr>
          <w:rFonts w:hint="eastAsia" w:ascii="宋体" w:hAnsi="宋体"/>
          <w:b/>
          <w:color w:val="auto"/>
          <w:kern w:val="0"/>
          <w:sz w:val="24"/>
        </w:rPr>
      </w:pPr>
      <w:r>
        <w:rPr>
          <w:rFonts w:ascii="宋体" w:hAnsi="宋体"/>
          <w:b/>
          <w:color w:val="auto"/>
          <w:kern w:val="0"/>
          <w:sz w:val="24"/>
        </w:rPr>
        <w:t>表</w:t>
      </w:r>
      <w:r>
        <w:rPr>
          <w:rFonts w:hint="eastAsia" w:ascii="宋体" w:hAnsi="宋体"/>
          <w:b/>
          <w:color w:val="auto"/>
          <w:kern w:val="0"/>
          <w:sz w:val="24"/>
          <w:lang w:val="en-US" w:eastAsia="zh-CN"/>
        </w:rPr>
        <w:t>3</w:t>
      </w:r>
      <w:r>
        <w:rPr>
          <w:rFonts w:ascii="宋体" w:hAnsi="宋体"/>
          <w:b/>
          <w:color w:val="auto"/>
          <w:kern w:val="0"/>
          <w:sz w:val="24"/>
        </w:rPr>
        <w:t>-4危险性D分值及等级</w:t>
      </w:r>
    </w:p>
    <w:tbl>
      <w:tblPr>
        <w:tblStyle w:val="57"/>
        <w:tblW w:w="4863" w:type="pct"/>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3"/>
        <w:gridCol w:w="4562"/>
        <w:gridCol w:w="2818"/>
      </w:tblGrid>
      <w:tr w14:paraId="02A5E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trPr>
        <w:tc>
          <w:tcPr>
            <w:tcW w:w="915" w:type="pct"/>
            <w:noWrap w:val="0"/>
            <w:vAlign w:val="center"/>
          </w:tcPr>
          <w:p w14:paraId="2B50A6C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D值</w:t>
            </w:r>
          </w:p>
        </w:tc>
        <w:tc>
          <w:tcPr>
            <w:tcW w:w="2524" w:type="pct"/>
            <w:noWrap w:val="0"/>
            <w:vAlign w:val="center"/>
          </w:tcPr>
          <w:p w14:paraId="03231A7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危险程度</w:t>
            </w:r>
          </w:p>
        </w:tc>
        <w:tc>
          <w:tcPr>
            <w:tcW w:w="1559" w:type="pct"/>
            <w:noWrap w:val="0"/>
            <w:vAlign w:val="center"/>
          </w:tcPr>
          <w:p w14:paraId="7252455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危险等级</w:t>
            </w:r>
          </w:p>
        </w:tc>
      </w:tr>
      <w:tr w14:paraId="09598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15" w:type="pct"/>
            <w:noWrap w:val="0"/>
            <w:vAlign w:val="center"/>
          </w:tcPr>
          <w:p w14:paraId="7295C74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＞320</w:t>
            </w:r>
          </w:p>
        </w:tc>
        <w:tc>
          <w:tcPr>
            <w:tcW w:w="2524" w:type="pct"/>
            <w:noWrap w:val="0"/>
            <w:vAlign w:val="center"/>
          </w:tcPr>
          <w:p w14:paraId="5E6806D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极其危险，不能继续作业</w:t>
            </w:r>
          </w:p>
        </w:tc>
        <w:tc>
          <w:tcPr>
            <w:tcW w:w="1559" w:type="pct"/>
            <w:noWrap w:val="0"/>
            <w:vAlign w:val="center"/>
          </w:tcPr>
          <w:p w14:paraId="74332A6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I</w:t>
            </w:r>
          </w:p>
        </w:tc>
      </w:tr>
      <w:tr w14:paraId="62EA1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15" w:type="pct"/>
            <w:noWrap w:val="0"/>
            <w:vAlign w:val="center"/>
          </w:tcPr>
          <w:p w14:paraId="2695018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160～320</w:t>
            </w:r>
          </w:p>
        </w:tc>
        <w:tc>
          <w:tcPr>
            <w:tcW w:w="2524" w:type="pct"/>
            <w:noWrap w:val="0"/>
            <w:vAlign w:val="center"/>
          </w:tcPr>
          <w:p w14:paraId="605EDC7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高度危险，需要立即整</w:t>
            </w:r>
          </w:p>
        </w:tc>
        <w:tc>
          <w:tcPr>
            <w:tcW w:w="1559" w:type="pct"/>
            <w:noWrap w:val="0"/>
            <w:vAlign w:val="center"/>
          </w:tcPr>
          <w:p w14:paraId="22B95D7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II</w:t>
            </w:r>
          </w:p>
        </w:tc>
      </w:tr>
      <w:tr w14:paraId="48841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15" w:type="pct"/>
            <w:noWrap w:val="0"/>
            <w:vAlign w:val="center"/>
          </w:tcPr>
          <w:p w14:paraId="1A588EB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70～160</w:t>
            </w:r>
          </w:p>
        </w:tc>
        <w:tc>
          <w:tcPr>
            <w:tcW w:w="2524" w:type="pct"/>
            <w:noWrap w:val="0"/>
            <w:vAlign w:val="center"/>
          </w:tcPr>
          <w:p w14:paraId="3F9F02F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显著危险，需要整改</w:t>
            </w:r>
          </w:p>
        </w:tc>
        <w:tc>
          <w:tcPr>
            <w:tcW w:w="1559" w:type="pct"/>
            <w:noWrap w:val="0"/>
            <w:vAlign w:val="center"/>
          </w:tcPr>
          <w:p w14:paraId="7EABBA3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III</w:t>
            </w:r>
          </w:p>
        </w:tc>
      </w:tr>
      <w:tr w14:paraId="1CABD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15" w:type="pct"/>
            <w:noWrap w:val="0"/>
            <w:vAlign w:val="center"/>
          </w:tcPr>
          <w:p w14:paraId="4B2E105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20～70</w:t>
            </w:r>
          </w:p>
        </w:tc>
        <w:tc>
          <w:tcPr>
            <w:tcW w:w="2524" w:type="pct"/>
            <w:noWrap w:val="0"/>
            <w:vAlign w:val="center"/>
          </w:tcPr>
          <w:p w14:paraId="5D1018D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可能危险，需要注意</w:t>
            </w:r>
          </w:p>
        </w:tc>
        <w:tc>
          <w:tcPr>
            <w:tcW w:w="1559" w:type="pct"/>
            <w:noWrap w:val="0"/>
            <w:vAlign w:val="center"/>
          </w:tcPr>
          <w:p w14:paraId="44031A9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IV</w:t>
            </w:r>
          </w:p>
        </w:tc>
      </w:tr>
      <w:tr w14:paraId="2BF9E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15" w:type="pct"/>
            <w:noWrap w:val="0"/>
            <w:vAlign w:val="center"/>
          </w:tcPr>
          <w:p w14:paraId="6982FF7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＜20</w:t>
            </w:r>
          </w:p>
        </w:tc>
        <w:tc>
          <w:tcPr>
            <w:tcW w:w="2524" w:type="pct"/>
            <w:noWrap w:val="0"/>
            <w:vAlign w:val="center"/>
          </w:tcPr>
          <w:p w14:paraId="034BFA2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稍有危险，或许可以接受</w:t>
            </w:r>
          </w:p>
        </w:tc>
        <w:tc>
          <w:tcPr>
            <w:tcW w:w="1559" w:type="pct"/>
            <w:noWrap w:val="0"/>
            <w:vAlign w:val="center"/>
          </w:tcPr>
          <w:p w14:paraId="1C8E354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V</w:t>
            </w:r>
          </w:p>
        </w:tc>
      </w:tr>
    </w:tbl>
    <w:p w14:paraId="71F41D8D">
      <w:pPr>
        <w:pStyle w:val="4"/>
        <w:bidi w:val="0"/>
        <w:outlineLvl w:val="2"/>
        <w:rPr>
          <w:rFonts w:hint="eastAsia"/>
          <w:color w:val="auto"/>
          <w:lang w:val="en-US" w:eastAsia="zh-CN"/>
        </w:rPr>
      </w:pPr>
      <w:bookmarkStart w:id="436" w:name="_Toc9484"/>
      <w:bookmarkStart w:id="437" w:name="_Toc197917533"/>
      <w:bookmarkStart w:id="438" w:name="_Toc451960220"/>
      <w:bookmarkStart w:id="439" w:name="_Toc301722104"/>
      <w:bookmarkStart w:id="440" w:name="_Toc19828"/>
      <w:bookmarkStart w:id="441" w:name="_Toc155628874"/>
      <w:bookmarkStart w:id="442" w:name="_Toc184925850"/>
      <w:bookmarkStart w:id="443" w:name="_Toc196106781"/>
      <w:bookmarkStart w:id="444" w:name="_Toc30932"/>
      <w:r>
        <w:rPr>
          <w:rFonts w:hint="eastAsia"/>
          <w:color w:val="auto"/>
          <w:lang w:val="en-US" w:eastAsia="zh-CN"/>
        </w:rPr>
        <w:t>各评价单元采用的评价方法</w:t>
      </w:r>
      <w:bookmarkEnd w:id="436"/>
      <w:bookmarkEnd w:id="437"/>
      <w:bookmarkEnd w:id="438"/>
      <w:bookmarkEnd w:id="439"/>
      <w:bookmarkEnd w:id="440"/>
      <w:bookmarkEnd w:id="441"/>
      <w:bookmarkEnd w:id="442"/>
      <w:bookmarkEnd w:id="443"/>
      <w:bookmarkEnd w:id="444"/>
    </w:p>
    <w:p w14:paraId="29313CFD">
      <w:pPr>
        <w:adjustRightInd w:val="0"/>
        <w:snapToGrid w:val="0"/>
        <w:ind w:firstLine="560"/>
        <w:rPr>
          <w:rFonts w:hint="eastAsia" w:eastAsiaTheme="minorEastAsia"/>
          <w:color w:val="auto"/>
          <w:sz w:val="28"/>
          <w:szCs w:val="28"/>
          <w:lang w:val="en-US" w:eastAsia="zh-CN"/>
        </w:rPr>
      </w:pPr>
      <w:r>
        <w:rPr>
          <w:rFonts w:hint="eastAsia" w:eastAsiaTheme="minorEastAsia"/>
          <w:color w:val="auto"/>
          <w:sz w:val="28"/>
          <w:szCs w:val="28"/>
          <w:lang w:val="en-US" w:eastAsia="zh-CN"/>
        </w:rPr>
        <w:t>根据该尾矿库的特点及危险、有害因素的分析，本次安全现状评价采用安全检查表法（SCA）、公式计算法等评价方法对该尾矿库进行安全现状评价。具体评价单元采用的评价方法如下：</w:t>
      </w:r>
    </w:p>
    <w:tbl>
      <w:tblPr>
        <w:tblStyle w:val="57"/>
        <w:tblW w:w="4857" w:type="pct"/>
        <w:tblInd w:w="1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8"/>
        <w:gridCol w:w="4271"/>
        <w:gridCol w:w="3792"/>
      </w:tblGrid>
      <w:tr w14:paraId="6BA1FD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1" w:type="pct"/>
            <w:shd w:val="clear" w:color="auto" w:fill="auto"/>
          </w:tcPr>
          <w:p w14:paraId="2CEB8B7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序号</w:t>
            </w:r>
          </w:p>
        </w:tc>
        <w:tc>
          <w:tcPr>
            <w:tcW w:w="2366" w:type="pct"/>
            <w:shd w:val="clear" w:color="auto" w:fill="auto"/>
          </w:tcPr>
          <w:p w14:paraId="4A44A86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评价单元</w:t>
            </w:r>
          </w:p>
        </w:tc>
        <w:tc>
          <w:tcPr>
            <w:tcW w:w="2101" w:type="pct"/>
            <w:shd w:val="clear" w:color="auto" w:fill="auto"/>
          </w:tcPr>
          <w:p w14:paraId="32D2963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评价方法</w:t>
            </w:r>
          </w:p>
        </w:tc>
      </w:tr>
      <w:tr w14:paraId="5B8B3F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531" w:type="pct"/>
            <w:shd w:val="clear" w:color="auto" w:fill="auto"/>
          </w:tcPr>
          <w:p w14:paraId="296986C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1</w:t>
            </w:r>
          </w:p>
        </w:tc>
        <w:tc>
          <w:tcPr>
            <w:tcW w:w="2366" w:type="pct"/>
            <w:shd w:val="clear" w:color="auto" w:fill="auto"/>
            <w:vAlign w:val="center"/>
          </w:tcPr>
          <w:p w14:paraId="5F1F2C8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安全设施“三同时”程序单元</w:t>
            </w:r>
          </w:p>
        </w:tc>
        <w:tc>
          <w:tcPr>
            <w:tcW w:w="2101" w:type="pct"/>
            <w:shd w:val="clear" w:color="auto" w:fill="auto"/>
          </w:tcPr>
          <w:p w14:paraId="071FB2D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安全检查表法</w:t>
            </w:r>
          </w:p>
        </w:tc>
      </w:tr>
      <w:tr w14:paraId="2C6250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0" w:hRule="atLeast"/>
        </w:trPr>
        <w:tc>
          <w:tcPr>
            <w:tcW w:w="531" w:type="pct"/>
            <w:shd w:val="clear" w:color="auto" w:fill="auto"/>
          </w:tcPr>
          <w:p w14:paraId="6124900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2</w:t>
            </w:r>
          </w:p>
        </w:tc>
        <w:tc>
          <w:tcPr>
            <w:tcW w:w="2366" w:type="pct"/>
            <w:shd w:val="clear" w:color="auto" w:fill="auto"/>
            <w:vAlign w:val="center"/>
          </w:tcPr>
          <w:p w14:paraId="0403172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尾矿坝单元</w:t>
            </w:r>
          </w:p>
        </w:tc>
        <w:tc>
          <w:tcPr>
            <w:tcW w:w="2101" w:type="pct"/>
            <w:shd w:val="clear" w:color="auto" w:fill="auto"/>
          </w:tcPr>
          <w:p w14:paraId="2FCDAC2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安全检查表法</w:t>
            </w:r>
          </w:p>
        </w:tc>
      </w:tr>
      <w:tr w14:paraId="2D736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1" w:type="pct"/>
            <w:shd w:val="clear" w:color="auto" w:fill="auto"/>
          </w:tcPr>
          <w:p w14:paraId="4DA8E47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3</w:t>
            </w:r>
          </w:p>
        </w:tc>
        <w:tc>
          <w:tcPr>
            <w:tcW w:w="2366" w:type="pct"/>
            <w:shd w:val="clear" w:color="auto" w:fill="auto"/>
            <w:vAlign w:val="center"/>
          </w:tcPr>
          <w:p w14:paraId="2A9A5C9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防排洪系统单元</w:t>
            </w:r>
          </w:p>
        </w:tc>
        <w:tc>
          <w:tcPr>
            <w:tcW w:w="2101" w:type="pct"/>
            <w:shd w:val="clear" w:color="auto" w:fill="auto"/>
          </w:tcPr>
          <w:p w14:paraId="2C89C4D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安全检查表法</w:t>
            </w:r>
          </w:p>
        </w:tc>
      </w:tr>
      <w:tr w14:paraId="23C1C7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1" w:type="pct"/>
            <w:shd w:val="clear" w:color="auto" w:fill="auto"/>
          </w:tcPr>
          <w:p w14:paraId="22EC102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4</w:t>
            </w:r>
          </w:p>
        </w:tc>
        <w:tc>
          <w:tcPr>
            <w:tcW w:w="2366" w:type="pct"/>
            <w:shd w:val="clear" w:color="auto" w:fill="auto"/>
            <w:vAlign w:val="center"/>
          </w:tcPr>
          <w:p w14:paraId="06C5564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地质灾害防护设施单元</w:t>
            </w:r>
          </w:p>
        </w:tc>
        <w:tc>
          <w:tcPr>
            <w:tcW w:w="2101" w:type="pct"/>
            <w:shd w:val="clear" w:color="auto" w:fill="auto"/>
          </w:tcPr>
          <w:p w14:paraId="7290763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w:t>
            </w:r>
          </w:p>
        </w:tc>
      </w:tr>
      <w:tr w14:paraId="4DAD1A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1" w:type="pct"/>
            <w:shd w:val="clear" w:color="auto" w:fill="auto"/>
          </w:tcPr>
          <w:p w14:paraId="618F7A8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5</w:t>
            </w:r>
          </w:p>
        </w:tc>
        <w:tc>
          <w:tcPr>
            <w:tcW w:w="2366" w:type="pct"/>
            <w:shd w:val="clear" w:color="auto" w:fill="auto"/>
            <w:vAlign w:val="center"/>
          </w:tcPr>
          <w:p w14:paraId="68DDE45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安全监测设施单元</w:t>
            </w:r>
          </w:p>
        </w:tc>
        <w:tc>
          <w:tcPr>
            <w:tcW w:w="2101" w:type="pct"/>
            <w:shd w:val="clear" w:color="auto" w:fill="auto"/>
          </w:tcPr>
          <w:p w14:paraId="668B0CE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安全检查表法</w:t>
            </w:r>
          </w:p>
        </w:tc>
      </w:tr>
      <w:tr w14:paraId="623550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531" w:type="pct"/>
            <w:shd w:val="clear" w:color="auto" w:fill="auto"/>
          </w:tcPr>
          <w:p w14:paraId="7F3F308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6</w:t>
            </w:r>
          </w:p>
        </w:tc>
        <w:tc>
          <w:tcPr>
            <w:tcW w:w="2366" w:type="pct"/>
            <w:shd w:val="clear" w:color="auto" w:fill="auto"/>
            <w:vAlign w:val="center"/>
          </w:tcPr>
          <w:p w14:paraId="7804867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排渗单元</w:t>
            </w:r>
          </w:p>
        </w:tc>
        <w:tc>
          <w:tcPr>
            <w:tcW w:w="2101" w:type="pct"/>
            <w:shd w:val="clear" w:color="auto" w:fill="auto"/>
          </w:tcPr>
          <w:p w14:paraId="614DE05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w:t>
            </w:r>
          </w:p>
        </w:tc>
      </w:tr>
      <w:tr w14:paraId="228703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1" w:type="pct"/>
            <w:shd w:val="clear" w:color="auto" w:fill="auto"/>
          </w:tcPr>
          <w:p w14:paraId="0092D8D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7</w:t>
            </w:r>
          </w:p>
        </w:tc>
        <w:tc>
          <w:tcPr>
            <w:tcW w:w="2366" w:type="pct"/>
            <w:shd w:val="clear" w:color="auto" w:fill="auto"/>
            <w:vAlign w:val="center"/>
          </w:tcPr>
          <w:p w14:paraId="68B5621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辅助设施单元</w:t>
            </w:r>
          </w:p>
        </w:tc>
        <w:tc>
          <w:tcPr>
            <w:tcW w:w="2101" w:type="pct"/>
            <w:shd w:val="clear" w:color="auto" w:fill="auto"/>
          </w:tcPr>
          <w:p w14:paraId="5B52592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安全检查表法</w:t>
            </w:r>
          </w:p>
        </w:tc>
      </w:tr>
      <w:tr w14:paraId="34D9B4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1" w:type="pct"/>
            <w:shd w:val="clear" w:color="auto" w:fill="auto"/>
          </w:tcPr>
          <w:p w14:paraId="661C57F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8</w:t>
            </w:r>
          </w:p>
        </w:tc>
        <w:tc>
          <w:tcPr>
            <w:tcW w:w="2366" w:type="pct"/>
            <w:shd w:val="clear" w:color="auto" w:fill="auto"/>
            <w:vAlign w:val="center"/>
          </w:tcPr>
          <w:p w14:paraId="10A52A5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安全标志单元</w:t>
            </w:r>
          </w:p>
        </w:tc>
        <w:tc>
          <w:tcPr>
            <w:tcW w:w="2101" w:type="pct"/>
            <w:shd w:val="clear" w:color="auto" w:fill="auto"/>
          </w:tcPr>
          <w:p w14:paraId="1A7A141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安全检查表法</w:t>
            </w:r>
          </w:p>
        </w:tc>
      </w:tr>
      <w:tr w14:paraId="4C0A92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1" w:type="pct"/>
            <w:shd w:val="clear" w:color="auto" w:fill="auto"/>
          </w:tcPr>
          <w:p w14:paraId="28E769B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9</w:t>
            </w:r>
          </w:p>
        </w:tc>
        <w:tc>
          <w:tcPr>
            <w:tcW w:w="2366" w:type="pct"/>
            <w:shd w:val="clear" w:color="auto" w:fill="auto"/>
            <w:vAlign w:val="center"/>
          </w:tcPr>
          <w:p w14:paraId="3356450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个人安全防护单元</w:t>
            </w:r>
          </w:p>
        </w:tc>
        <w:tc>
          <w:tcPr>
            <w:tcW w:w="2101" w:type="pct"/>
            <w:shd w:val="clear" w:color="auto" w:fill="auto"/>
          </w:tcPr>
          <w:p w14:paraId="30EFDF0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w:t>
            </w:r>
          </w:p>
        </w:tc>
      </w:tr>
      <w:tr w14:paraId="7C3FF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1" w:type="pct"/>
            <w:shd w:val="clear" w:color="auto" w:fill="auto"/>
          </w:tcPr>
          <w:p w14:paraId="31B053D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10</w:t>
            </w:r>
          </w:p>
        </w:tc>
        <w:tc>
          <w:tcPr>
            <w:tcW w:w="2366" w:type="pct"/>
            <w:shd w:val="clear" w:color="auto" w:fill="auto"/>
            <w:vAlign w:val="center"/>
          </w:tcPr>
          <w:p w14:paraId="1AAFF11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安全管理单元</w:t>
            </w:r>
          </w:p>
        </w:tc>
        <w:tc>
          <w:tcPr>
            <w:tcW w:w="2101" w:type="pct"/>
            <w:shd w:val="clear" w:color="auto" w:fill="auto"/>
          </w:tcPr>
          <w:p w14:paraId="77953DE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s="宋体" w:asciiTheme="minorEastAsia" w:hAnsiTheme="minorEastAsia" w:eastAsiaTheme="minorEastAsia"/>
                <w:color w:val="auto"/>
                <w:kern w:val="0"/>
                <w:sz w:val="21"/>
                <w:szCs w:val="21"/>
                <w:lang w:val="en-US" w:eastAsia="zh-CN"/>
              </w:rPr>
            </w:pPr>
            <w:r>
              <w:rPr>
                <w:rFonts w:hint="eastAsia" w:cs="宋体" w:asciiTheme="minorEastAsia" w:hAnsiTheme="minorEastAsia" w:eastAsiaTheme="minorEastAsia"/>
                <w:color w:val="auto"/>
                <w:kern w:val="0"/>
                <w:sz w:val="21"/>
                <w:szCs w:val="21"/>
                <w:lang w:val="en-US" w:eastAsia="zh-CN"/>
              </w:rPr>
              <w:t>安全检查表法</w:t>
            </w:r>
          </w:p>
        </w:tc>
      </w:tr>
    </w:tbl>
    <w:p w14:paraId="4D1382F0">
      <w:pPr>
        <w:pStyle w:val="90"/>
        <w:rPr>
          <w:color w:val="auto"/>
        </w:rPr>
      </w:pPr>
    </w:p>
    <w:p w14:paraId="3A2512C8">
      <w:pPr>
        <w:rPr>
          <w:color w:val="auto"/>
        </w:rPr>
      </w:pPr>
      <w:bookmarkStart w:id="445" w:name="_Toc105057966"/>
      <w:bookmarkStart w:id="446" w:name="_Toc9426"/>
      <w:r>
        <w:rPr>
          <w:color w:val="auto"/>
        </w:rPr>
        <w:br w:type="page"/>
      </w:r>
    </w:p>
    <w:p w14:paraId="6EDFAD54">
      <w:pPr>
        <w:pStyle w:val="3"/>
        <w:outlineLvl w:val="0"/>
        <w:rPr>
          <w:color w:val="auto"/>
        </w:rPr>
      </w:pPr>
      <w:bookmarkStart w:id="447" w:name="_Toc692"/>
      <w:r>
        <w:rPr>
          <w:color w:val="auto"/>
        </w:rPr>
        <w:t>安全设施符合性评价</w:t>
      </w:r>
      <w:bookmarkEnd w:id="445"/>
      <w:bookmarkEnd w:id="446"/>
      <w:bookmarkEnd w:id="447"/>
    </w:p>
    <w:p w14:paraId="692B34B1">
      <w:pPr>
        <w:pStyle w:val="4"/>
        <w:bidi w:val="0"/>
        <w:rPr>
          <w:color w:val="auto"/>
        </w:rPr>
      </w:pPr>
      <w:bookmarkStart w:id="448" w:name="_Toc105057967"/>
      <w:bookmarkStart w:id="449" w:name="_Toc32283"/>
      <w:bookmarkStart w:id="450" w:name="_Toc28488"/>
      <w:r>
        <w:rPr>
          <w:color w:val="auto"/>
        </w:rPr>
        <w:t>安全设施</w:t>
      </w:r>
      <w:r>
        <w:rPr>
          <w:rFonts w:hint="eastAsia"/>
          <w:color w:val="auto"/>
        </w:rPr>
        <w:t>“</w:t>
      </w:r>
      <w:r>
        <w:rPr>
          <w:color w:val="auto"/>
        </w:rPr>
        <w:t>三同时</w:t>
      </w:r>
      <w:r>
        <w:rPr>
          <w:rFonts w:hint="eastAsia"/>
          <w:color w:val="auto"/>
        </w:rPr>
        <w:t>”</w:t>
      </w:r>
      <w:r>
        <w:rPr>
          <w:color w:val="auto"/>
        </w:rPr>
        <w:t>程序评价单元</w:t>
      </w:r>
      <w:bookmarkEnd w:id="448"/>
      <w:bookmarkEnd w:id="449"/>
      <w:bookmarkEnd w:id="450"/>
    </w:p>
    <w:p w14:paraId="0A425D4E">
      <w:pPr>
        <w:pStyle w:val="5"/>
        <w:bidi w:val="0"/>
        <w:rPr>
          <w:color w:val="auto"/>
        </w:rPr>
      </w:pPr>
      <w:bookmarkStart w:id="451" w:name="_Toc19349"/>
      <w:bookmarkStart w:id="452" w:name="_Toc105057968"/>
      <w:bookmarkStart w:id="453" w:name="_Toc5859"/>
      <w:r>
        <w:rPr>
          <w:color w:val="auto"/>
        </w:rPr>
        <w:t>安全设施</w:t>
      </w:r>
      <w:r>
        <w:rPr>
          <w:rFonts w:hint="eastAsia"/>
          <w:color w:val="auto"/>
        </w:rPr>
        <w:t>“</w:t>
      </w:r>
      <w:r>
        <w:rPr>
          <w:color w:val="auto"/>
        </w:rPr>
        <w:t>三同时</w:t>
      </w:r>
      <w:r>
        <w:rPr>
          <w:rFonts w:hint="eastAsia"/>
          <w:color w:val="auto"/>
        </w:rPr>
        <w:t>”</w:t>
      </w:r>
      <w:r>
        <w:rPr>
          <w:color w:val="auto"/>
        </w:rPr>
        <w:t>程序符合性评价</w:t>
      </w:r>
      <w:bookmarkEnd w:id="451"/>
      <w:bookmarkEnd w:id="452"/>
      <w:bookmarkEnd w:id="453"/>
    </w:p>
    <w:p w14:paraId="06623F31">
      <w:pPr>
        <w:rPr>
          <w:color w:val="auto"/>
        </w:rPr>
      </w:pPr>
      <w:r>
        <w:rPr>
          <w:color w:val="auto"/>
        </w:rPr>
        <w:t>根据《中华人民共和国矿山安全法》、《中华人民共和国安全生产法》、《建设项目设施</w:t>
      </w:r>
      <w:r>
        <w:rPr>
          <w:rFonts w:hint="eastAsia"/>
          <w:color w:val="auto"/>
        </w:rPr>
        <w:t>“</w:t>
      </w:r>
      <w:r>
        <w:rPr>
          <w:color w:val="auto"/>
        </w:rPr>
        <w:t>三同时</w:t>
      </w:r>
      <w:r>
        <w:rPr>
          <w:rFonts w:hint="eastAsia"/>
          <w:color w:val="auto"/>
        </w:rPr>
        <w:t>”</w:t>
      </w:r>
      <w:r>
        <w:rPr>
          <w:color w:val="auto"/>
        </w:rPr>
        <w:t>监督管理办法》等规定采用安全检查表对尾矿库</w:t>
      </w:r>
      <w:r>
        <w:rPr>
          <w:rFonts w:hint="eastAsia"/>
          <w:color w:val="auto"/>
          <w:lang w:eastAsia="zh-CN"/>
        </w:rPr>
        <w:t>闭库</w:t>
      </w:r>
      <w:r>
        <w:rPr>
          <w:color w:val="auto"/>
        </w:rPr>
        <w:t>程序符合性进行检查，对项目安全设施</w:t>
      </w:r>
      <w:r>
        <w:rPr>
          <w:rFonts w:hint="eastAsia"/>
          <w:color w:val="auto"/>
        </w:rPr>
        <w:t>“</w:t>
      </w:r>
      <w:r>
        <w:rPr>
          <w:color w:val="auto"/>
        </w:rPr>
        <w:t>三同时</w:t>
      </w:r>
      <w:r>
        <w:rPr>
          <w:rFonts w:hint="eastAsia"/>
          <w:color w:val="auto"/>
        </w:rPr>
        <w:t>”</w:t>
      </w:r>
      <w:r>
        <w:rPr>
          <w:color w:val="auto"/>
        </w:rPr>
        <w:t>程序及实施情况的合法性进行评价。</w:t>
      </w:r>
    </w:p>
    <w:p w14:paraId="10DF94AD">
      <w:pPr>
        <w:pStyle w:val="18"/>
        <w:keepNext/>
        <w:rPr>
          <w:rFonts w:cs="Times New Roman"/>
          <w:color w:val="auto"/>
        </w:rPr>
      </w:pPr>
      <w:r>
        <w:rPr>
          <w:rFonts w:cs="Times New Roman"/>
          <w:color w:val="auto"/>
        </w:rPr>
        <w:t>表</w:t>
      </w:r>
      <w:r>
        <w:rPr>
          <w:rFonts w:hint="eastAsia" w:cs="Times New Roman"/>
          <w:color w:val="auto"/>
          <w:lang w:val="en-US" w:eastAsia="zh-CN"/>
        </w:rPr>
        <w:t>4</w:t>
      </w:r>
      <w:r>
        <w:rPr>
          <w:rFonts w:cs="Times New Roman"/>
          <w:color w:val="auto"/>
        </w:rPr>
        <w:noBreakHyphen/>
      </w:r>
      <w:r>
        <w:rPr>
          <w:rFonts w:hint="eastAsia" w:cs="Times New Roman"/>
          <w:color w:val="auto"/>
          <w:lang w:val="en-US" w:eastAsia="zh-CN"/>
        </w:rPr>
        <w:t>1</w:t>
      </w:r>
      <w:r>
        <w:rPr>
          <w:rFonts w:hint="eastAsia" w:cs="Times New Roman"/>
          <w:color w:val="auto"/>
        </w:rPr>
        <w:t>“</w:t>
      </w:r>
      <w:r>
        <w:rPr>
          <w:rFonts w:cs="Times New Roman"/>
          <w:color w:val="auto"/>
        </w:rPr>
        <w:t>三同时</w:t>
      </w:r>
      <w:r>
        <w:rPr>
          <w:rFonts w:hint="eastAsia" w:cs="Times New Roman"/>
          <w:color w:val="auto"/>
        </w:rPr>
        <w:t>”</w:t>
      </w:r>
      <w:r>
        <w:rPr>
          <w:rFonts w:cs="Times New Roman"/>
          <w:color w:val="auto"/>
        </w:rPr>
        <w:t>符合性检查表</w:t>
      </w:r>
    </w:p>
    <w:tbl>
      <w:tblPr>
        <w:tblStyle w:val="5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641"/>
        <w:gridCol w:w="682"/>
        <w:gridCol w:w="2890"/>
        <w:gridCol w:w="3904"/>
        <w:gridCol w:w="713"/>
      </w:tblGrid>
      <w:tr w14:paraId="79854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0" w:type="auto"/>
            <w:vAlign w:val="center"/>
          </w:tcPr>
          <w:p w14:paraId="6898B88C">
            <w:pPr>
              <w:pStyle w:val="70"/>
              <w:jc w:val="center"/>
              <w:rPr>
                <w:color w:val="auto"/>
              </w:rPr>
            </w:pPr>
            <w:r>
              <w:rPr>
                <w:color w:val="auto"/>
              </w:rPr>
              <w:t>序号</w:t>
            </w:r>
          </w:p>
        </w:tc>
        <w:tc>
          <w:tcPr>
            <w:tcW w:w="0" w:type="auto"/>
            <w:vAlign w:val="center"/>
          </w:tcPr>
          <w:p w14:paraId="068A2BB6">
            <w:pPr>
              <w:pStyle w:val="70"/>
              <w:jc w:val="center"/>
              <w:rPr>
                <w:color w:val="auto"/>
              </w:rPr>
            </w:pPr>
            <w:r>
              <w:rPr>
                <w:color w:val="auto"/>
              </w:rPr>
              <w:t>检查</w:t>
            </w:r>
          </w:p>
          <w:p w14:paraId="233438E5">
            <w:pPr>
              <w:pStyle w:val="70"/>
              <w:jc w:val="center"/>
              <w:rPr>
                <w:color w:val="auto"/>
              </w:rPr>
            </w:pPr>
            <w:r>
              <w:rPr>
                <w:color w:val="auto"/>
              </w:rPr>
              <w:t>项目</w:t>
            </w:r>
          </w:p>
        </w:tc>
        <w:tc>
          <w:tcPr>
            <w:tcW w:w="682" w:type="dxa"/>
            <w:vAlign w:val="center"/>
          </w:tcPr>
          <w:p w14:paraId="57163CD9">
            <w:pPr>
              <w:pStyle w:val="70"/>
              <w:jc w:val="center"/>
              <w:rPr>
                <w:color w:val="auto"/>
              </w:rPr>
            </w:pPr>
            <w:r>
              <w:rPr>
                <w:color w:val="auto"/>
              </w:rPr>
              <w:t>检查类别</w:t>
            </w:r>
          </w:p>
        </w:tc>
        <w:tc>
          <w:tcPr>
            <w:tcW w:w="2890" w:type="dxa"/>
            <w:vAlign w:val="center"/>
          </w:tcPr>
          <w:p w14:paraId="5271607F">
            <w:pPr>
              <w:pStyle w:val="70"/>
              <w:jc w:val="center"/>
              <w:rPr>
                <w:color w:val="auto"/>
              </w:rPr>
            </w:pPr>
            <w:r>
              <w:rPr>
                <w:color w:val="auto"/>
              </w:rPr>
              <w:t>检查内容</w:t>
            </w:r>
          </w:p>
        </w:tc>
        <w:tc>
          <w:tcPr>
            <w:tcW w:w="3904" w:type="dxa"/>
            <w:vAlign w:val="center"/>
          </w:tcPr>
          <w:p w14:paraId="6DF8892C">
            <w:pPr>
              <w:pStyle w:val="70"/>
              <w:jc w:val="center"/>
              <w:rPr>
                <w:color w:val="auto"/>
              </w:rPr>
            </w:pPr>
            <w:r>
              <w:rPr>
                <w:color w:val="auto"/>
              </w:rPr>
              <w:t>检查情况</w:t>
            </w:r>
          </w:p>
        </w:tc>
        <w:tc>
          <w:tcPr>
            <w:tcW w:w="713" w:type="dxa"/>
            <w:vAlign w:val="center"/>
          </w:tcPr>
          <w:p w14:paraId="6CA2D5A1">
            <w:pPr>
              <w:pStyle w:val="70"/>
              <w:jc w:val="center"/>
              <w:rPr>
                <w:color w:val="auto"/>
              </w:rPr>
            </w:pPr>
            <w:r>
              <w:rPr>
                <w:color w:val="auto"/>
              </w:rPr>
              <w:t>检查</w:t>
            </w:r>
          </w:p>
          <w:p w14:paraId="5A463E79">
            <w:pPr>
              <w:pStyle w:val="70"/>
              <w:jc w:val="center"/>
              <w:rPr>
                <w:color w:val="auto"/>
              </w:rPr>
            </w:pPr>
            <w:r>
              <w:rPr>
                <w:color w:val="auto"/>
              </w:rPr>
              <w:t>结果</w:t>
            </w:r>
          </w:p>
        </w:tc>
      </w:tr>
      <w:tr w14:paraId="7DB27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0" w:type="auto"/>
            <w:vAlign w:val="center"/>
          </w:tcPr>
          <w:p w14:paraId="0902AF7E">
            <w:pPr>
              <w:pStyle w:val="70"/>
              <w:ind w:firstLine="0" w:firstLineChars="0"/>
              <w:jc w:val="center"/>
              <w:rPr>
                <w:color w:val="auto"/>
              </w:rPr>
            </w:pPr>
            <w:r>
              <w:rPr>
                <w:color w:val="auto"/>
              </w:rPr>
              <w:t>1</w:t>
            </w:r>
          </w:p>
        </w:tc>
        <w:tc>
          <w:tcPr>
            <w:tcW w:w="0" w:type="auto"/>
            <w:vAlign w:val="center"/>
          </w:tcPr>
          <w:p w14:paraId="281211A3">
            <w:pPr>
              <w:pStyle w:val="70"/>
              <w:jc w:val="center"/>
              <w:rPr>
                <w:color w:val="auto"/>
              </w:rPr>
            </w:pPr>
            <w:r>
              <w:rPr>
                <w:color w:val="auto"/>
              </w:rPr>
              <w:t>初步</w:t>
            </w:r>
          </w:p>
          <w:p w14:paraId="3D89D546">
            <w:pPr>
              <w:pStyle w:val="70"/>
              <w:jc w:val="center"/>
              <w:rPr>
                <w:color w:val="auto"/>
              </w:rPr>
            </w:pPr>
            <w:r>
              <w:rPr>
                <w:color w:val="auto"/>
              </w:rPr>
              <w:t>设计</w:t>
            </w:r>
          </w:p>
        </w:tc>
        <w:tc>
          <w:tcPr>
            <w:tcW w:w="682" w:type="dxa"/>
            <w:vAlign w:val="center"/>
          </w:tcPr>
          <w:p w14:paraId="1EA6A12C">
            <w:pPr>
              <w:pStyle w:val="70"/>
              <w:jc w:val="center"/>
              <w:rPr>
                <w:color w:val="auto"/>
              </w:rPr>
            </w:pPr>
          </w:p>
        </w:tc>
        <w:tc>
          <w:tcPr>
            <w:tcW w:w="2890" w:type="dxa"/>
            <w:vAlign w:val="center"/>
          </w:tcPr>
          <w:p w14:paraId="294EA1E9">
            <w:pPr>
              <w:pStyle w:val="70"/>
              <w:rPr>
                <w:color w:val="auto"/>
              </w:rPr>
            </w:pPr>
            <w:r>
              <w:rPr>
                <w:color w:val="auto"/>
              </w:rPr>
              <w:t>建设单位是否委托具有相应设计资质的单位编制项目初步设计。</w:t>
            </w:r>
          </w:p>
        </w:tc>
        <w:tc>
          <w:tcPr>
            <w:tcW w:w="3904" w:type="dxa"/>
            <w:vAlign w:val="center"/>
          </w:tcPr>
          <w:p w14:paraId="0048EAF3">
            <w:pPr>
              <w:pStyle w:val="70"/>
              <w:rPr>
                <w:rFonts w:hint="eastAsia"/>
                <w:color w:val="auto"/>
                <w:lang w:val="en-US" w:eastAsia="zh-CN"/>
              </w:rPr>
            </w:pPr>
            <w:r>
              <w:rPr>
                <w:rFonts w:hint="eastAsia"/>
                <w:color w:val="auto"/>
                <w:lang w:val="en-US" w:eastAsia="zh-CN"/>
              </w:rPr>
              <w:t>2023年4月份委托昆明赛特拉矿山工程设计有限公司完成了《元谋县大远矿业有限公司红坡铁矿选厂尾矿库闭库工程初步设计》。</w:t>
            </w:r>
          </w:p>
          <w:p w14:paraId="5A7D8415">
            <w:pPr>
              <w:pStyle w:val="70"/>
              <w:rPr>
                <w:rFonts w:hint="default"/>
                <w:color w:val="auto"/>
                <w:lang w:val="en-US"/>
              </w:rPr>
            </w:pPr>
            <w:r>
              <w:rPr>
                <w:rFonts w:hint="eastAsia"/>
                <w:color w:val="auto"/>
                <w:lang w:val="en-US" w:eastAsia="zh-CN"/>
              </w:rPr>
              <w:t>该公司具有‘工程设计冶金行业冶金矿山工程专业乙级’资质，资质在有效期内。</w:t>
            </w:r>
          </w:p>
        </w:tc>
        <w:tc>
          <w:tcPr>
            <w:tcW w:w="713" w:type="dxa"/>
            <w:vAlign w:val="center"/>
          </w:tcPr>
          <w:p w14:paraId="6B2E5CA8">
            <w:pPr>
              <w:pStyle w:val="70"/>
              <w:jc w:val="center"/>
              <w:rPr>
                <w:color w:val="auto"/>
              </w:rPr>
            </w:pPr>
            <w:r>
              <w:rPr>
                <w:color w:val="auto"/>
              </w:rPr>
              <w:t>符合</w:t>
            </w:r>
          </w:p>
        </w:tc>
      </w:tr>
      <w:tr w14:paraId="19CF3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0" w:type="auto"/>
            <w:vAlign w:val="center"/>
          </w:tcPr>
          <w:p w14:paraId="5CE5CA33">
            <w:pPr>
              <w:pStyle w:val="70"/>
              <w:ind w:firstLine="0" w:firstLineChars="0"/>
              <w:jc w:val="center"/>
              <w:rPr>
                <w:color w:val="auto"/>
              </w:rPr>
            </w:pPr>
            <w:r>
              <w:rPr>
                <w:color w:val="auto"/>
              </w:rPr>
              <w:t>2</w:t>
            </w:r>
          </w:p>
        </w:tc>
        <w:tc>
          <w:tcPr>
            <w:tcW w:w="0" w:type="auto"/>
            <w:vAlign w:val="center"/>
          </w:tcPr>
          <w:p w14:paraId="39DBF2BA">
            <w:pPr>
              <w:pStyle w:val="70"/>
              <w:jc w:val="center"/>
              <w:rPr>
                <w:color w:val="auto"/>
              </w:rPr>
            </w:pPr>
            <w:r>
              <w:rPr>
                <w:color w:val="auto"/>
              </w:rPr>
              <w:t>预评价</w:t>
            </w:r>
          </w:p>
        </w:tc>
        <w:tc>
          <w:tcPr>
            <w:tcW w:w="682" w:type="dxa"/>
            <w:vAlign w:val="center"/>
          </w:tcPr>
          <w:p w14:paraId="32ADB1F4">
            <w:pPr>
              <w:pStyle w:val="70"/>
              <w:jc w:val="center"/>
              <w:rPr>
                <w:color w:val="auto"/>
              </w:rPr>
            </w:pPr>
          </w:p>
        </w:tc>
        <w:tc>
          <w:tcPr>
            <w:tcW w:w="2890" w:type="dxa"/>
            <w:vAlign w:val="center"/>
          </w:tcPr>
          <w:p w14:paraId="78174189">
            <w:pPr>
              <w:pStyle w:val="70"/>
              <w:rPr>
                <w:color w:val="auto"/>
              </w:rPr>
            </w:pPr>
            <w:r>
              <w:rPr>
                <w:color w:val="auto"/>
              </w:rPr>
              <w:t>建设单位在项目安全设施设计批准前，是否委托具有相应资质的安全评价机构对建设项目进行安全预评价，出具《安全预评价报告》，由建设单位报安监部门备案。</w:t>
            </w:r>
          </w:p>
        </w:tc>
        <w:tc>
          <w:tcPr>
            <w:tcW w:w="3904" w:type="dxa"/>
            <w:vAlign w:val="center"/>
          </w:tcPr>
          <w:p w14:paraId="03B03669">
            <w:pPr>
              <w:pStyle w:val="70"/>
              <w:rPr>
                <w:rFonts w:hint="eastAsia"/>
                <w:color w:val="auto"/>
                <w:lang w:val="en-US" w:eastAsia="zh-CN"/>
              </w:rPr>
            </w:pPr>
            <w:r>
              <w:rPr>
                <w:rFonts w:hint="eastAsia"/>
                <w:color w:val="auto"/>
                <w:lang w:val="en-US" w:eastAsia="zh-CN"/>
              </w:rPr>
              <w:t>2023年3月委托昭通市鼎安科技有限公司完成了《元谋县大远矿业有限公司红坡铁矿选厂尾矿库闭库安全现状评价》报告。</w:t>
            </w:r>
          </w:p>
          <w:p w14:paraId="192F92B3">
            <w:pPr>
              <w:pStyle w:val="70"/>
              <w:rPr>
                <w:color w:val="auto"/>
              </w:rPr>
            </w:pPr>
            <w:r>
              <w:rPr>
                <w:rFonts w:hint="eastAsia"/>
                <w:color w:val="auto"/>
                <w:lang w:val="en-US" w:eastAsia="zh-CN"/>
              </w:rPr>
              <w:t>该公司具有‘金属、非金属矿及其他矿采选业’资质，资质在有效期内</w:t>
            </w:r>
            <w:r>
              <w:rPr>
                <w:color w:val="auto"/>
              </w:rPr>
              <w:t>。</w:t>
            </w:r>
          </w:p>
        </w:tc>
        <w:tc>
          <w:tcPr>
            <w:tcW w:w="713" w:type="dxa"/>
            <w:vAlign w:val="center"/>
          </w:tcPr>
          <w:p w14:paraId="2039D0C4">
            <w:pPr>
              <w:pStyle w:val="70"/>
              <w:jc w:val="center"/>
              <w:rPr>
                <w:color w:val="auto"/>
              </w:rPr>
            </w:pPr>
            <w:r>
              <w:rPr>
                <w:color w:val="auto"/>
              </w:rPr>
              <w:t>符合</w:t>
            </w:r>
          </w:p>
        </w:tc>
      </w:tr>
      <w:tr w14:paraId="744D9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0" w:type="auto"/>
            <w:vAlign w:val="center"/>
          </w:tcPr>
          <w:p w14:paraId="57435F06">
            <w:pPr>
              <w:pStyle w:val="70"/>
              <w:ind w:firstLine="0" w:firstLineChars="0"/>
              <w:jc w:val="center"/>
              <w:rPr>
                <w:color w:val="auto"/>
              </w:rPr>
            </w:pPr>
            <w:r>
              <w:rPr>
                <w:color w:val="auto"/>
              </w:rPr>
              <w:t>3</w:t>
            </w:r>
          </w:p>
        </w:tc>
        <w:tc>
          <w:tcPr>
            <w:tcW w:w="0" w:type="auto"/>
            <w:vAlign w:val="center"/>
          </w:tcPr>
          <w:p w14:paraId="307085BE">
            <w:pPr>
              <w:pStyle w:val="70"/>
              <w:jc w:val="center"/>
              <w:rPr>
                <w:color w:val="auto"/>
              </w:rPr>
            </w:pPr>
            <w:r>
              <w:rPr>
                <w:color w:val="auto"/>
              </w:rPr>
              <w:t>安全设施设计</w:t>
            </w:r>
          </w:p>
        </w:tc>
        <w:tc>
          <w:tcPr>
            <w:tcW w:w="682" w:type="dxa"/>
            <w:vAlign w:val="center"/>
          </w:tcPr>
          <w:p w14:paraId="2B645540">
            <w:pPr>
              <w:pStyle w:val="70"/>
              <w:jc w:val="center"/>
              <w:rPr>
                <w:color w:val="auto"/>
              </w:rPr>
            </w:pPr>
            <w:r>
              <w:rPr>
                <w:color w:val="auto"/>
                <w:kern w:val="0"/>
                <w:sz w:val="24"/>
              </w:rPr>
              <w:t>■</w:t>
            </w:r>
          </w:p>
        </w:tc>
        <w:tc>
          <w:tcPr>
            <w:tcW w:w="2890" w:type="dxa"/>
            <w:vAlign w:val="center"/>
          </w:tcPr>
          <w:p w14:paraId="67B049B9">
            <w:pPr>
              <w:pStyle w:val="70"/>
              <w:rPr>
                <w:color w:val="auto"/>
              </w:rPr>
            </w:pPr>
            <w:r>
              <w:rPr>
                <w:color w:val="auto"/>
              </w:rPr>
              <w:t>检查内容：安全设施设计是否经过相应的安全监管部门审批；存在重大变更的，是否经原审查部门审查同意。</w:t>
            </w:r>
          </w:p>
          <w:p w14:paraId="14E20B05">
            <w:pPr>
              <w:pStyle w:val="70"/>
              <w:rPr>
                <w:color w:val="auto"/>
              </w:rPr>
            </w:pPr>
            <w:r>
              <w:rPr>
                <w:color w:val="auto"/>
              </w:rPr>
              <w:t>检查方法：查阅安全设施设计批复文件及重大设计变更批复文件。</w:t>
            </w:r>
          </w:p>
        </w:tc>
        <w:tc>
          <w:tcPr>
            <w:tcW w:w="3904" w:type="dxa"/>
            <w:vAlign w:val="center"/>
          </w:tcPr>
          <w:p w14:paraId="0EEF49DB">
            <w:pPr>
              <w:pStyle w:val="70"/>
              <w:rPr>
                <w:color w:val="auto"/>
              </w:rPr>
            </w:pPr>
            <w:r>
              <w:rPr>
                <w:rFonts w:hint="eastAsia"/>
                <w:color w:val="auto"/>
                <w:lang w:val="en-US" w:eastAsia="zh-CN"/>
              </w:rPr>
              <w:t>2023年4月份委托昆明赛特拉矿山工程设计有限公司完成了《元谋县大远矿业有限公司红坡铁矿选厂尾矿库闭库工程安全设施设计》</w:t>
            </w:r>
            <w:r>
              <w:rPr>
                <w:color w:val="auto"/>
              </w:rPr>
              <w:t>，</w:t>
            </w:r>
            <w:r>
              <w:rPr>
                <w:rFonts w:hint="eastAsia"/>
                <w:color w:val="auto"/>
                <w:lang w:val="en-US" w:eastAsia="zh-CN"/>
              </w:rPr>
              <w:t>2023年4月20日取得楚雄州应急管理局的《安全设施设计审批书》，已按照审批的设计进行施工，无重大设计变更</w:t>
            </w:r>
            <w:r>
              <w:rPr>
                <w:color w:val="auto"/>
              </w:rPr>
              <w:t>。</w:t>
            </w:r>
          </w:p>
        </w:tc>
        <w:tc>
          <w:tcPr>
            <w:tcW w:w="713" w:type="dxa"/>
            <w:vAlign w:val="center"/>
          </w:tcPr>
          <w:p w14:paraId="3B467C57">
            <w:pPr>
              <w:pStyle w:val="70"/>
              <w:jc w:val="center"/>
              <w:rPr>
                <w:color w:val="auto"/>
              </w:rPr>
            </w:pPr>
            <w:r>
              <w:rPr>
                <w:color w:val="auto"/>
              </w:rPr>
              <w:t>符合</w:t>
            </w:r>
          </w:p>
        </w:tc>
      </w:tr>
      <w:tr w14:paraId="7B7FB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0" w:type="auto"/>
            <w:vAlign w:val="center"/>
          </w:tcPr>
          <w:p w14:paraId="434D3BE9">
            <w:pPr>
              <w:pStyle w:val="70"/>
              <w:ind w:firstLine="0" w:firstLineChars="0"/>
              <w:jc w:val="center"/>
              <w:rPr>
                <w:color w:val="auto"/>
              </w:rPr>
            </w:pPr>
            <w:r>
              <w:rPr>
                <w:color w:val="auto"/>
              </w:rPr>
              <w:t>4</w:t>
            </w:r>
          </w:p>
        </w:tc>
        <w:tc>
          <w:tcPr>
            <w:tcW w:w="0" w:type="auto"/>
            <w:vAlign w:val="center"/>
          </w:tcPr>
          <w:p w14:paraId="7FE722C6">
            <w:pPr>
              <w:pStyle w:val="70"/>
              <w:jc w:val="center"/>
              <w:rPr>
                <w:color w:val="auto"/>
              </w:rPr>
            </w:pPr>
            <w:r>
              <w:rPr>
                <w:color w:val="auto"/>
              </w:rPr>
              <w:t>项目完工情况</w:t>
            </w:r>
          </w:p>
        </w:tc>
        <w:tc>
          <w:tcPr>
            <w:tcW w:w="682" w:type="dxa"/>
            <w:vAlign w:val="center"/>
          </w:tcPr>
          <w:p w14:paraId="3EDA3038">
            <w:pPr>
              <w:pStyle w:val="70"/>
              <w:jc w:val="center"/>
              <w:rPr>
                <w:color w:val="auto"/>
              </w:rPr>
            </w:pPr>
            <w:r>
              <w:rPr>
                <w:color w:val="auto"/>
                <w:kern w:val="0"/>
                <w:sz w:val="24"/>
              </w:rPr>
              <w:t>■</w:t>
            </w:r>
          </w:p>
        </w:tc>
        <w:tc>
          <w:tcPr>
            <w:tcW w:w="2890" w:type="dxa"/>
            <w:vAlign w:val="center"/>
          </w:tcPr>
          <w:p w14:paraId="25C264E1">
            <w:pPr>
              <w:pStyle w:val="70"/>
              <w:rPr>
                <w:color w:val="auto"/>
              </w:rPr>
            </w:pPr>
            <w:r>
              <w:rPr>
                <w:color w:val="auto"/>
              </w:rPr>
              <w:t>检查内容：建设项目竣工验收前，是否按照批准的《安全设施设计》完成全部的安全设施，单项工程验收合格，按规定进行试运行，具备安全生产条件，并提交自查报告。</w:t>
            </w:r>
          </w:p>
          <w:p w14:paraId="599BE4EC">
            <w:pPr>
              <w:pStyle w:val="70"/>
              <w:rPr>
                <w:color w:val="auto"/>
              </w:rPr>
            </w:pPr>
            <w:r>
              <w:rPr>
                <w:color w:val="auto"/>
              </w:rPr>
              <w:t>检查方法：查阅单项工程验收资料、试运行资料、自查报告。</w:t>
            </w:r>
          </w:p>
        </w:tc>
        <w:tc>
          <w:tcPr>
            <w:tcW w:w="3904" w:type="dxa"/>
            <w:vAlign w:val="center"/>
          </w:tcPr>
          <w:p w14:paraId="178F0731">
            <w:pPr>
              <w:pStyle w:val="70"/>
              <w:rPr>
                <w:rFonts w:hint="default"/>
                <w:color w:val="auto"/>
                <w:lang w:val="en-US"/>
              </w:rPr>
            </w:pPr>
            <w:r>
              <w:rPr>
                <w:color w:val="auto"/>
              </w:rPr>
              <w:t>建设方委托</w:t>
            </w:r>
            <w:r>
              <w:rPr>
                <w:rFonts w:hint="eastAsia"/>
                <w:color w:val="auto"/>
                <w:lang w:val="en-US" w:eastAsia="zh-CN"/>
              </w:rPr>
              <w:t>亮云建设集团有限公司施工，根据现场勘查已</w:t>
            </w:r>
            <w:r>
              <w:rPr>
                <w:color w:val="auto"/>
              </w:rPr>
              <w:t>按设计完成相关工程建设</w:t>
            </w:r>
            <w:r>
              <w:rPr>
                <w:rFonts w:hint="eastAsia"/>
                <w:color w:val="auto"/>
                <w:lang w:eastAsia="zh-CN"/>
              </w:rPr>
              <w:t>，</w:t>
            </w:r>
            <w:r>
              <w:rPr>
                <w:color w:val="auto"/>
              </w:rPr>
              <w:t>完成闭库</w:t>
            </w:r>
            <w:r>
              <w:rPr>
                <w:rFonts w:hint="eastAsia"/>
                <w:color w:val="auto"/>
                <w:lang w:val="en-US" w:eastAsia="zh-CN"/>
              </w:rPr>
              <w:t>施工。提供了竣工报告。</w:t>
            </w:r>
          </w:p>
        </w:tc>
        <w:tc>
          <w:tcPr>
            <w:tcW w:w="713" w:type="dxa"/>
            <w:vAlign w:val="center"/>
          </w:tcPr>
          <w:p w14:paraId="6808F2EE">
            <w:pPr>
              <w:pStyle w:val="70"/>
              <w:jc w:val="center"/>
              <w:rPr>
                <w:color w:val="auto"/>
              </w:rPr>
            </w:pPr>
            <w:r>
              <w:rPr>
                <w:color w:val="auto"/>
              </w:rPr>
              <w:t>符合</w:t>
            </w:r>
          </w:p>
        </w:tc>
      </w:tr>
      <w:tr w14:paraId="39736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9" w:hRule="atLeast"/>
          <w:jc w:val="center"/>
        </w:trPr>
        <w:tc>
          <w:tcPr>
            <w:tcW w:w="0" w:type="auto"/>
            <w:vAlign w:val="center"/>
          </w:tcPr>
          <w:p w14:paraId="2BED0EBF">
            <w:pPr>
              <w:pStyle w:val="70"/>
              <w:ind w:firstLine="0" w:firstLineChars="0"/>
              <w:jc w:val="center"/>
              <w:rPr>
                <w:rFonts w:hint="eastAsia" w:eastAsia="宋体"/>
                <w:color w:val="auto"/>
                <w:lang w:eastAsia="zh-CN"/>
              </w:rPr>
            </w:pPr>
            <w:r>
              <w:rPr>
                <w:rFonts w:hint="eastAsia"/>
                <w:color w:val="auto"/>
                <w:lang w:val="en-US" w:eastAsia="zh-CN"/>
              </w:rPr>
              <w:t>5</w:t>
            </w:r>
          </w:p>
        </w:tc>
        <w:tc>
          <w:tcPr>
            <w:tcW w:w="0" w:type="auto"/>
            <w:vAlign w:val="center"/>
          </w:tcPr>
          <w:p w14:paraId="64EDA893">
            <w:pPr>
              <w:pStyle w:val="70"/>
              <w:jc w:val="center"/>
              <w:rPr>
                <w:color w:val="auto"/>
              </w:rPr>
            </w:pPr>
            <w:r>
              <w:rPr>
                <w:color w:val="auto"/>
              </w:rPr>
              <w:t>项目施工单位</w:t>
            </w:r>
          </w:p>
        </w:tc>
        <w:tc>
          <w:tcPr>
            <w:tcW w:w="682" w:type="dxa"/>
            <w:vAlign w:val="center"/>
          </w:tcPr>
          <w:p w14:paraId="5BBF0DC3">
            <w:pPr>
              <w:pStyle w:val="70"/>
              <w:jc w:val="center"/>
              <w:rPr>
                <w:color w:val="auto"/>
              </w:rPr>
            </w:pPr>
            <w:r>
              <w:rPr>
                <w:color w:val="auto"/>
                <w:kern w:val="0"/>
                <w:sz w:val="24"/>
              </w:rPr>
              <w:t>■</w:t>
            </w:r>
          </w:p>
        </w:tc>
        <w:tc>
          <w:tcPr>
            <w:tcW w:w="2890" w:type="dxa"/>
            <w:vAlign w:val="center"/>
          </w:tcPr>
          <w:p w14:paraId="7CFAEF58">
            <w:pPr>
              <w:pStyle w:val="70"/>
              <w:rPr>
                <w:color w:val="auto"/>
              </w:rPr>
            </w:pPr>
            <w:r>
              <w:rPr>
                <w:color w:val="auto"/>
              </w:rPr>
              <w:t>检查内容：安全设施是否由具有相应资质的施工单位施工。</w:t>
            </w:r>
          </w:p>
          <w:p w14:paraId="4DBCFE0F">
            <w:pPr>
              <w:pStyle w:val="70"/>
              <w:rPr>
                <w:color w:val="auto"/>
              </w:rPr>
            </w:pPr>
            <w:r>
              <w:rPr>
                <w:color w:val="auto"/>
              </w:rPr>
              <w:t>检查方法：查阅施工单位资质证书。</w:t>
            </w:r>
          </w:p>
        </w:tc>
        <w:tc>
          <w:tcPr>
            <w:tcW w:w="3904" w:type="dxa"/>
            <w:vAlign w:val="center"/>
          </w:tcPr>
          <w:p w14:paraId="64DC6D1C">
            <w:pPr>
              <w:pStyle w:val="70"/>
              <w:rPr>
                <w:rFonts w:hint="eastAsia" w:eastAsia="宋体"/>
                <w:color w:val="auto"/>
                <w:lang w:eastAsia="zh-CN"/>
              </w:rPr>
            </w:pPr>
            <w:r>
              <w:rPr>
                <w:rFonts w:hint="eastAsia" w:eastAsia="宋体"/>
                <w:color w:val="auto"/>
                <w:lang w:eastAsia="zh-CN"/>
              </w:rPr>
              <w:t>建设方委托</w:t>
            </w:r>
            <w:r>
              <w:rPr>
                <w:rFonts w:hint="eastAsia" w:eastAsia="宋体"/>
                <w:color w:val="auto"/>
                <w:lang w:val="en-US" w:eastAsia="zh-CN"/>
              </w:rPr>
              <w:t>亮云建设集团有限公司施工，该公司具有‘矿山工程施工总承包二级、水利水电工程施工总承包二级’</w:t>
            </w:r>
            <w:r>
              <w:rPr>
                <w:rFonts w:hint="eastAsia"/>
                <w:color w:val="auto"/>
                <w:lang w:val="en-US" w:eastAsia="zh-CN"/>
              </w:rPr>
              <w:t>等</w:t>
            </w:r>
            <w:r>
              <w:rPr>
                <w:rFonts w:hint="eastAsia" w:eastAsia="宋体"/>
                <w:color w:val="auto"/>
                <w:lang w:val="en-US" w:eastAsia="zh-CN"/>
              </w:rPr>
              <w:t>资质</w:t>
            </w:r>
            <w:r>
              <w:rPr>
                <w:rFonts w:hint="eastAsia"/>
                <w:color w:val="auto"/>
                <w:lang w:val="en-US" w:eastAsia="zh-CN"/>
              </w:rPr>
              <w:t>范围</w:t>
            </w:r>
            <w:r>
              <w:rPr>
                <w:rFonts w:hint="eastAsia" w:eastAsia="宋体"/>
                <w:color w:val="auto"/>
                <w:lang w:val="en-US" w:eastAsia="zh-CN"/>
              </w:rPr>
              <w:t>，资质在有效期内</w:t>
            </w:r>
            <w:r>
              <w:rPr>
                <w:rFonts w:hint="eastAsia"/>
                <w:color w:val="auto"/>
                <w:lang w:val="en-US" w:eastAsia="zh-CN"/>
              </w:rPr>
              <w:t>，该公司有‘安全生产许可证’且在有效期内</w:t>
            </w:r>
            <w:r>
              <w:rPr>
                <w:rFonts w:hint="eastAsia" w:eastAsia="宋体"/>
                <w:color w:val="auto"/>
                <w:lang w:val="en-US" w:eastAsia="zh-CN"/>
              </w:rPr>
              <w:t>。</w:t>
            </w:r>
          </w:p>
        </w:tc>
        <w:tc>
          <w:tcPr>
            <w:tcW w:w="713" w:type="dxa"/>
            <w:vAlign w:val="center"/>
          </w:tcPr>
          <w:p w14:paraId="3CA1615B">
            <w:pPr>
              <w:pStyle w:val="70"/>
              <w:jc w:val="center"/>
              <w:rPr>
                <w:color w:val="auto"/>
              </w:rPr>
            </w:pPr>
            <w:r>
              <w:rPr>
                <w:color w:val="auto"/>
              </w:rPr>
              <w:t>符合</w:t>
            </w:r>
          </w:p>
        </w:tc>
      </w:tr>
      <w:tr w14:paraId="078E0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0" w:type="auto"/>
            <w:vAlign w:val="center"/>
          </w:tcPr>
          <w:p w14:paraId="0167C584">
            <w:pPr>
              <w:pStyle w:val="70"/>
              <w:ind w:firstLine="0" w:firstLineChars="0"/>
              <w:jc w:val="center"/>
              <w:rPr>
                <w:rFonts w:hint="eastAsia" w:eastAsia="宋体"/>
                <w:color w:val="auto"/>
                <w:highlight w:val="none"/>
                <w:lang w:eastAsia="zh-CN"/>
              </w:rPr>
            </w:pPr>
            <w:r>
              <w:rPr>
                <w:rFonts w:hint="eastAsia"/>
                <w:color w:val="auto"/>
                <w:highlight w:val="none"/>
                <w:lang w:val="en-US" w:eastAsia="zh-CN"/>
              </w:rPr>
              <w:t>6</w:t>
            </w:r>
          </w:p>
        </w:tc>
        <w:tc>
          <w:tcPr>
            <w:tcW w:w="0" w:type="auto"/>
            <w:vAlign w:val="center"/>
          </w:tcPr>
          <w:p w14:paraId="131A9F66">
            <w:pPr>
              <w:pStyle w:val="70"/>
              <w:jc w:val="center"/>
              <w:rPr>
                <w:color w:val="auto"/>
                <w:highlight w:val="none"/>
              </w:rPr>
            </w:pPr>
            <w:r>
              <w:rPr>
                <w:color w:val="auto"/>
                <w:highlight w:val="none"/>
              </w:rPr>
              <w:t>项目监理情况</w:t>
            </w:r>
          </w:p>
        </w:tc>
        <w:tc>
          <w:tcPr>
            <w:tcW w:w="682" w:type="dxa"/>
            <w:vAlign w:val="center"/>
          </w:tcPr>
          <w:p w14:paraId="38175219">
            <w:pPr>
              <w:pStyle w:val="70"/>
              <w:jc w:val="center"/>
              <w:rPr>
                <w:color w:val="auto"/>
                <w:highlight w:val="none"/>
              </w:rPr>
            </w:pPr>
            <w:r>
              <w:rPr>
                <w:rFonts w:hint="eastAsia"/>
                <w:color w:val="auto"/>
                <w:highlight w:val="none"/>
              </w:rPr>
              <w:t>△</w:t>
            </w:r>
          </w:p>
        </w:tc>
        <w:tc>
          <w:tcPr>
            <w:tcW w:w="2890" w:type="dxa"/>
            <w:vAlign w:val="center"/>
          </w:tcPr>
          <w:p w14:paraId="3235F1FE">
            <w:pPr>
              <w:pStyle w:val="70"/>
              <w:rPr>
                <w:color w:val="auto"/>
                <w:highlight w:val="none"/>
              </w:rPr>
            </w:pPr>
            <w:r>
              <w:rPr>
                <w:color w:val="auto"/>
                <w:highlight w:val="none"/>
              </w:rPr>
              <w:t>检查内容：施工过程是否由具有相应资质的监理单位进行监理。</w:t>
            </w:r>
          </w:p>
          <w:p w14:paraId="7E20F3E0">
            <w:pPr>
              <w:pStyle w:val="70"/>
              <w:rPr>
                <w:color w:val="auto"/>
                <w:highlight w:val="none"/>
              </w:rPr>
            </w:pPr>
            <w:r>
              <w:rPr>
                <w:color w:val="auto"/>
                <w:highlight w:val="none"/>
              </w:rPr>
              <w:t>检查方法：查阅监理单位资质证书、施工监理报告。</w:t>
            </w:r>
          </w:p>
        </w:tc>
        <w:tc>
          <w:tcPr>
            <w:tcW w:w="3904" w:type="dxa"/>
            <w:vAlign w:val="center"/>
          </w:tcPr>
          <w:p w14:paraId="445C9466">
            <w:pPr>
              <w:pStyle w:val="70"/>
              <w:rPr>
                <w:color w:val="auto"/>
                <w:highlight w:val="none"/>
              </w:rPr>
            </w:pPr>
            <w:r>
              <w:rPr>
                <w:color w:val="auto"/>
                <w:highlight w:val="none"/>
              </w:rPr>
              <w:t>建设方委托</w:t>
            </w:r>
            <w:r>
              <w:rPr>
                <w:rFonts w:hint="eastAsia"/>
                <w:color w:val="auto"/>
                <w:highlight w:val="none"/>
                <w:lang w:val="en-US" w:eastAsia="zh-CN"/>
              </w:rPr>
              <w:t>中鸿荣造项目管理有限公司</w:t>
            </w:r>
            <w:r>
              <w:rPr>
                <w:color w:val="auto"/>
                <w:highlight w:val="none"/>
              </w:rPr>
              <w:t>对本工程进行监理</w:t>
            </w:r>
            <w:r>
              <w:rPr>
                <w:rFonts w:hint="eastAsia"/>
                <w:color w:val="auto"/>
                <w:highlight w:val="none"/>
                <w:lang w:eastAsia="zh-CN"/>
              </w:rPr>
              <w:t>，</w:t>
            </w:r>
            <w:r>
              <w:rPr>
                <w:rFonts w:hint="eastAsia"/>
                <w:color w:val="auto"/>
                <w:highlight w:val="none"/>
                <w:lang w:val="en-US" w:eastAsia="zh-CN"/>
              </w:rPr>
              <w:t>该公司具有‘工程监理市政公用工程专业甲级’资质，资质在有效期内，提供了监理总结报告。</w:t>
            </w:r>
          </w:p>
        </w:tc>
        <w:tc>
          <w:tcPr>
            <w:tcW w:w="713" w:type="dxa"/>
            <w:vAlign w:val="center"/>
          </w:tcPr>
          <w:p w14:paraId="3E1FAF94">
            <w:pPr>
              <w:pStyle w:val="70"/>
              <w:jc w:val="center"/>
              <w:rPr>
                <w:color w:val="auto"/>
                <w:highlight w:val="none"/>
              </w:rPr>
            </w:pPr>
            <w:r>
              <w:rPr>
                <w:color w:val="auto"/>
                <w:highlight w:val="none"/>
              </w:rPr>
              <w:t>符合</w:t>
            </w:r>
          </w:p>
        </w:tc>
      </w:tr>
      <w:tr w14:paraId="40E67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0" w:type="auto"/>
            <w:vAlign w:val="center"/>
          </w:tcPr>
          <w:p w14:paraId="399565FE">
            <w:pPr>
              <w:pStyle w:val="70"/>
              <w:ind w:firstLine="0" w:firstLineChars="0"/>
              <w:jc w:val="center"/>
              <w:rPr>
                <w:rFonts w:hint="eastAsia" w:eastAsia="宋体"/>
                <w:color w:val="auto"/>
                <w:lang w:eastAsia="zh-CN"/>
              </w:rPr>
            </w:pPr>
            <w:r>
              <w:rPr>
                <w:rFonts w:hint="eastAsia"/>
                <w:color w:val="auto"/>
                <w:lang w:val="en-US" w:eastAsia="zh-CN"/>
              </w:rPr>
              <w:t>7</w:t>
            </w:r>
          </w:p>
        </w:tc>
        <w:tc>
          <w:tcPr>
            <w:tcW w:w="0" w:type="auto"/>
            <w:vAlign w:val="center"/>
          </w:tcPr>
          <w:p w14:paraId="58A5D837">
            <w:pPr>
              <w:pStyle w:val="70"/>
              <w:jc w:val="center"/>
              <w:rPr>
                <w:color w:val="auto"/>
              </w:rPr>
            </w:pPr>
            <w:r>
              <w:rPr>
                <w:color w:val="auto"/>
              </w:rPr>
              <w:t>安全设施验收评价</w:t>
            </w:r>
          </w:p>
        </w:tc>
        <w:tc>
          <w:tcPr>
            <w:tcW w:w="682" w:type="dxa"/>
            <w:vAlign w:val="center"/>
          </w:tcPr>
          <w:p w14:paraId="6B1D9616">
            <w:pPr>
              <w:pStyle w:val="70"/>
              <w:jc w:val="center"/>
              <w:rPr>
                <w:color w:val="auto"/>
              </w:rPr>
            </w:pPr>
            <w:r>
              <w:rPr>
                <w:color w:val="auto"/>
                <w:kern w:val="0"/>
                <w:sz w:val="24"/>
              </w:rPr>
              <w:t>■</w:t>
            </w:r>
          </w:p>
        </w:tc>
        <w:tc>
          <w:tcPr>
            <w:tcW w:w="2890" w:type="dxa"/>
            <w:vAlign w:val="center"/>
          </w:tcPr>
          <w:p w14:paraId="6EEAEA98">
            <w:pPr>
              <w:pStyle w:val="70"/>
              <w:rPr>
                <w:color w:val="auto"/>
              </w:rPr>
            </w:pPr>
            <w:r>
              <w:rPr>
                <w:color w:val="auto"/>
              </w:rPr>
              <w:t>检查内容：是否由具有资质的安全评价机构进行安全设施验收评价，且评价结论为符合安全验收条件。</w:t>
            </w:r>
          </w:p>
          <w:p w14:paraId="7B8BB065">
            <w:pPr>
              <w:pStyle w:val="70"/>
              <w:rPr>
                <w:color w:val="auto"/>
              </w:rPr>
            </w:pPr>
            <w:r>
              <w:rPr>
                <w:color w:val="auto"/>
              </w:rPr>
              <w:t>检查方法：查阅安全设施验收评价报告及相关附件。</w:t>
            </w:r>
          </w:p>
        </w:tc>
        <w:tc>
          <w:tcPr>
            <w:tcW w:w="3904" w:type="dxa"/>
            <w:vAlign w:val="center"/>
          </w:tcPr>
          <w:p w14:paraId="536D9942">
            <w:pPr>
              <w:pStyle w:val="70"/>
              <w:rPr>
                <w:color w:val="auto"/>
              </w:rPr>
            </w:pPr>
            <w:r>
              <w:rPr>
                <w:color w:val="auto"/>
              </w:rPr>
              <w:t>建设方委托昭通市鼎安科技有限公司202</w:t>
            </w:r>
            <w:r>
              <w:rPr>
                <w:rFonts w:hint="eastAsia"/>
                <w:color w:val="auto"/>
                <w:lang w:val="en-US" w:eastAsia="zh-CN"/>
              </w:rPr>
              <w:t>4</w:t>
            </w:r>
            <w:r>
              <w:rPr>
                <w:color w:val="auto"/>
              </w:rPr>
              <w:t>年</w:t>
            </w:r>
            <w:r>
              <w:rPr>
                <w:rFonts w:hint="eastAsia"/>
                <w:color w:val="auto"/>
                <w:lang w:val="en-US" w:eastAsia="zh-CN"/>
              </w:rPr>
              <w:t>7</w:t>
            </w:r>
            <w:r>
              <w:rPr>
                <w:color w:val="auto"/>
              </w:rPr>
              <w:t>月编制《</w:t>
            </w:r>
            <w:r>
              <w:rPr>
                <w:rFonts w:hint="eastAsia"/>
                <w:color w:val="auto"/>
                <w:lang w:eastAsia="zh-CN"/>
              </w:rPr>
              <w:t>元谋县大远矿业有限公司红坡铁矿选厂尾矿库</w:t>
            </w:r>
            <w:r>
              <w:rPr>
                <w:color w:val="auto"/>
              </w:rPr>
              <w:t>闭库安全设施验收评价报告》，该评价公司有相应的安全评价机构资质，且在资质范围和有效期内。</w:t>
            </w:r>
          </w:p>
        </w:tc>
        <w:tc>
          <w:tcPr>
            <w:tcW w:w="713" w:type="dxa"/>
            <w:vAlign w:val="center"/>
          </w:tcPr>
          <w:p w14:paraId="5B3E2DF1">
            <w:pPr>
              <w:pStyle w:val="70"/>
              <w:jc w:val="center"/>
              <w:rPr>
                <w:color w:val="auto"/>
              </w:rPr>
            </w:pPr>
            <w:r>
              <w:rPr>
                <w:color w:val="auto"/>
              </w:rPr>
              <w:t>符合</w:t>
            </w:r>
          </w:p>
        </w:tc>
      </w:tr>
    </w:tbl>
    <w:p w14:paraId="2A15FED0">
      <w:pPr>
        <w:ind w:left="560" w:firstLine="0" w:firstLineChars="0"/>
        <w:rPr>
          <w:color w:val="auto"/>
        </w:rPr>
      </w:pPr>
      <w:r>
        <w:rPr>
          <w:color w:val="auto"/>
        </w:rPr>
        <w:t>检查类别中，</w:t>
      </w:r>
      <w:r>
        <w:rPr>
          <w:rFonts w:hint="eastAsia"/>
          <w:color w:val="auto"/>
        </w:rPr>
        <w:t>“</w:t>
      </w:r>
      <w:r>
        <w:rPr>
          <w:color w:val="auto"/>
          <w:kern w:val="0"/>
          <w:sz w:val="24"/>
        </w:rPr>
        <w:t>■</w:t>
      </w:r>
      <w:r>
        <w:rPr>
          <w:rFonts w:hint="eastAsia"/>
          <w:color w:val="auto"/>
        </w:rPr>
        <w:t>”</w:t>
      </w:r>
      <w:r>
        <w:rPr>
          <w:color w:val="auto"/>
        </w:rPr>
        <w:t>表示否决项，</w:t>
      </w:r>
      <w:r>
        <w:rPr>
          <w:rFonts w:hint="eastAsia"/>
          <w:color w:val="auto"/>
        </w:rPr>
        <w:t>“</w:t>
      </w:r>
      <w:r>
        <w:rPr>
          <w:rFonts w:hint="eastAsia" w:ascii="宋体" w:hAnsi="宋体" w:cs="宋体"/>
          <w:color w:val="auto"/>
        </w:rPr>
        <w:t>△</w:t>
      </w:r>
      <w:r>
        <w:rPr>
          <w:rFonts w:hint="eastAsia"/>
          <w:color w:val="auto"/>
        </w:rPr>
        <w:t>”</w:t>
      </w:r>
      <w:r>
        <w:rPr>
          <w:color w:val="auto"/>
        </w:rPr>
        <w:t>表示一般项。</w:t>
      </w:r>
    </w:p>
    <w:p w14:paraId="49C85DEC">
      <w:pPr>
        <w:pStyle w:val="5"/>
        <w:outlineLvl w:val="2"/>
        <w:rPr>
          <w:color w:val="auto"/>
        </w:rPr>
      </w:pPr>
      <w:bookmarkStart w:id="454" w:name="_Toc105057969"/>
      <w:bookmarkStart w:id="455" w:name="_Toc30850"/>
      <w:bookmarkStart w:id="456" w:name="_Toc26963"/>
      <w:r>
        <w:rPr>
          <w:color w:val="auto"/>
        </w:rPr>
        <w:t>单元小结</w:t>
      </w:r>
      <w:bookmarkEnd w:id="454"/>
      <w:bookmarkEnd w:id="455"/>
      <w:bookmarkEnd w:id="456"/>
    </w:p>
    <w:p w14:paraId="757A2595">
      <w:pPr>
        <w:rPr>
          <w:color w:val="auto"/>
        </w:rPr>
      </w:pPr>
      <w:r>
        <w:rPr>
          <w:rFonts w:hint="eastAsia"/>
          <w:color w:val="auto"/>
          <w:lang w:eastAsia="zh-CN"/>
        </w:rPr>
        <w:t>元谋县大远矿业有限公司红坡铁矿选厂尾矿库闭库</w:t>
      </w:r>
      <w:r>
        <w:rPr>
          <w:color w:val="auto"/>
        </w:rPr>
        <w:t>工程在设计、评价、建设和竣工验收等过程中，按照国家有关安全生产法律法规的要求履行了建设程序，项目在初步设计、安全预评价、安全设施设计等</w:t>
      </w:r>
      <w:r>
        <w:rPr>
          <w:rFonts w:hint="eastAsia"/>
          <w:color w:val="auto"/>
        </w:rPr>
        <w:t>“</w:t>
      </w:r>
      <w:r>
        <w:rPr>
          <w:color w:val="auto"/>
        </w:rPr>
        <w:t>三同时</w:t>
      </w:r>
      <w:r>
        <w:rPr>
          <w:rFonts w:hint="eastAsia"/>
          <w:color w:val="auto"/>
        </w:rPr>
        <w:t>”</w:t>
      </w:r>
      <w:r>
        <w:rPr>
          <w:color w:val="auto"/>
        </w:rPr>
        <w:t>过程中，通过了相关程序的评审或审查。该项目安全设施做到了与主体工程同时设计、同时施工、同时投入生产和使用，符合建设项目安全设施</w:t>
      </w:r>
      <w:r>
        <w:rPr>
          <w:rFonts w:hint="eastAsia"/>
          <w:color w:val="auto"/>
        </w:rPr>
        <w:t>“</w:t>
      </w:r>
      <w:r>
        <w:rPr>
          <w:color w:val="auto"/>
        </w:rPr>
        <w:t>三同时</w:t>
      </w:r>
      <w:r>
        <w:rPr>
          <w:rFonts w:hint="eastAsia"/>
          <w:color w:val="auto"/>
        </w:rPr>
        <w:t>”</w:t>
      </w:r>
      <w:r>
        <w:rPr>
          <w:color w:val="auto"/>
        </w:rPr>
        <w:t>的要求，建设项目建设程序符合要求，具备安全验收条件。</w:t>
      </w:r>
    </w:p>
    <w:p w14:paraId="2B408BE1">
      <w:pPr>
        <w:pStyle w:val="4"/>
        <w:outlineLvl w:val="1"/>
        <w:rPr>
          <w:rFonts w:cs="Times New Roman"/>
          <w:color w:val="auto"/>
        </w:rPr>
      </w:pPr>
      <w:bookmarkStart w:id="457" w:name="_Toc29805"/>
      <w:bookmarkStart w:id="458" w:name="_Toc15261"/>
      <w:r>
        <w:rPr>
          <w:rFonts w:cs="Times New Roman"/>
          <w:color w:val="auto"/>
        </w:rPr>
        <w:t>尾矿</w:t>
      </w:r>
      <w:r>
        <w:rPr>
          <w:rFonts w:hint="eastAsia" w:cs="Times New Roman"/>
          <w:color w:val="auto"/>
          <w:lang w:val="en-US" w:eastAsia="zh-CN"/>
        </w:rPr>
        <w:t>坝</w:t>
      </w:r>
      <w:r>
        <w:rPr>
          <w:rFonts w:cs="Times New Roman"/>
          <w:color w:val="auto"/>
        </w:rPr>
        <w:t>单元</w:t>
      </w:r>
      <w:bookmarkEnd w:id="457"/>
      <w:bookmarkEnd w:id="458"/>
    </w:p>
    <w:p w14:paraId="4F8C960C">
      <w:pPr>
        <w:pStyle w:val="5"/>
        <w:bidi w:val="0"/>
        <w:rPr>
          <w:rFonts w:hint="default"/>
          <w:color w:val="auto"/>
          <w:lang w:val="en-US" w:eastAsia="zh-CN"/>
        </w:rPr>
      </w:pPr>
      <w:bookmarkStart w:id="459" w:name="_Toc24580"/>
      <w:bookmarkStart w:id="460" w:name="_Toc18464"/>
      <w:bookmarkStart w:id="461" w:name="_Toc105057974"/>
      <w:bookmarkStart w:id="462" w:name="_Toc100570443"/>
      <w:r>
        <w:rPr>
          <w:rFonts w:hint="eastAsia"/>
          <w:color w:val="auto"/>
          <w:lang w:val="en-US" w:eastAsia="zh-CN"/>
        </w:rPr>
        <w:t>危险有害因素辨识与分析</w:t>
      </w:r>
      <w:bookmarkEnd w:id="459"/>
      <w:bookmarkEnd w:id="460"/>
    </w:p>
    <w:p w14:paraId="18469383">
      <w:pPr>
        <w:bidi w:val="0"/>
        <w:rPr>
          <w:color w:val="auto"/>
        </w:rPr>
      </w:pPr>
      <w:r>
        <w:rPr>
          <w:color w:val="auto"/>
          <w:lang w:val="en-US" w:eastAsia="zh-CN"/>
        </w:rPr>
        <w:t>1、施工过程中不按图施工、施工偷工减料导致坝体出现渗漏、裂缝，</w:t>
      </w:r>
      <w:r>
        <w:rPr>
          <w:rFonts w:hint="default"/>
          <w:color w:val="auto"/>
          <w:lang w:val="en-US" w:eastAsia="zh-CN"/>
        </w:rPr>
        <w:t>影响坝体质量；</w:t>
      </w:r>
    </w:p>
    <w:p w14:paraId="24840436">
      <w:pPr>
        <w:bidi w:val="0"/>
        <w:rPr>
          <w:color w:val="auto"/>
        </w:rPr>
      </w:pPr>
      <w:r>
        <w:rPr>
          <w:rFonts w:hint="default"/>
          <w:color w:val="auto"/>
          <w:lang w:val="en-US" w:eastAsia="zh-CN"/>
        </w:rPr>
        <w:t>2、坝址由不具备相应技术能力的单位勘探或勘探不准确，造成坝体建在不稳定的地质体上；</w:t>
      </w:r>
    </w:p>
    <w:p w14:paraId="1ACFB2C0">
      <w:pPr>
        <w:bidi w:val="0"/>
        <w:rPr>
          <w:color w:val="auto"/>
        </w:rPr>
      </w:pPr>
      <w:r>
        <w:rPr>
          <w:rFonts w:hint="default"/>
          <w:color w:val="auto"/>
          <w:lang w:val="en-US" w:eastAsia="zh-CN"/>
        </w:rPr>
        <w:t>3、坝体设计缺陷或设计标准选用偏低；</w:t>
      </w:r>
    </w:p>
    <w:p w14:paraId="3265083F">
      <w:pPr>
        <w:bidi w:val="0"/>
        <w:rPr>
          <w:color w:val="auto"/>
        </w:rPr>
      </w:pPr>
      <w:r>
        <w:rPr>
          <w:rFonts w:hint="default"/>
          <w:color w:val="auto"/>
          <w:lang w:val="en-US" w:eastAsia="zh-CN"/>
        </w:rPr>
        <w:t>4、由不具备相应能力和资质的单位施工或未按设计施工、施工偷工减料，坝体施工质量差等；</w:t>
      </w:r>
    </w:p>
    <w:p w14:paraId="559018CA">
      <w:pPr>
        <w:bidi w:val="0"/>
        <w:rPr>
          <w:color w:val="auto"/>
        </w:rPr>
      </w:pPr>
      <w:r>
        <w:rPr>
          <w:rFonts w:hint="default"/>
          <w:color w:val="auto"/>
          <w:lang w:val="en-US" w:eastAsia="zh-CN"/>
        </w:rPr>
        <w:t>5、在运行过程中未对坝体进行安全检查、无坝体变形、位移监测系统或监测不及时、不准确，对隐患无处理措施或措施不力等；</w:t>
      </w:r>
    </w:p>
    <w:p w14:paraId="25E13658">
      <w:pPr>
        <w:bidi w:val="0"/>
        <w:rPr>
          <w:color w:val="auto"/>
        </w:rPr>
      </w:pPr>
      <w:r>
        <w:rPr>
          <w:rFonts w:hint="default"/>
          <w:color w:val="auto"/>
          <w:lang w:val="en-US" w:eastAsia="zh-CN"/>
        </w:rPr>
        <w:t>6、对气候、地质、地形等发生变化而引起的不利变化，没有及时采取正确的应对方法所导致的事故；</w:t>
      </w:r>
    </w:p>
    <w:p w14:paraId="3629F6FC">
      <w:pPr>
        <w:bidi w:val="0"/>
        <w:rPr>
          <w:color w:val="auto"/>
        </w:rPr>
      </w:pPr>
      <w:r>
        <w:rPr>
          <w:rFonts w:hint="default"/>
          <w:color w:val="auto"/>
          <w:lang w:val="en-US" w:eastAsia="zh-CN"/>
        </w:rPr>
        <w:t>7、坝体的一部分离开原来位置塌落滑出，叫滑坡，它常导致坝体的溃决事故。一般先由裂缝开始，慢慢逐步扩大和蔓延，致使部分坝体松动，受到外力的作用，发生坍塌；</w:t>
      </w:r>
    </w:p>
    <w:p w14:paraId="390C2665">
      <w:pPr>
        <w:bidi w:val="0"/>
        <w:rPr>
          <w:color w:val="auto"/>
        </w:rPr>
      </w:pPr>
      <w:r>
        <w:rPr>
          <w:rFonts w:hint="default"/>
          <w:color w:val="auto"/>
          <w:lang w:val="en-US" w:eastAsia="zh-CN"/>
        </w:rPr>
        <w:t>8、尾矿坝管理有缺陷，不能满足安全要求。</w:t>
      </w:r>
    </w:p>
    <w:p w14:paraId="5E70A6D3">
      <w:pPr>
        <w:pStyle w:val="5"/>
        <w:bidi w:val="0"/>
        <w:rPr>
          <w:color w:val="auto"/>
        </w:rPr>
      </w:pPr>
      <w:bookmarkStart w:id="463" w:name="_Toc2284"/>
      <w:bookmarkStart w:id="464" w:name="_Toc14306"/>
      <w:r>
        <w:rPr>
          <w:color w:val="auto"/>
        </w:rPr>
        <w:t>尾矿</w:t>
      </w:r>
      <w:r>
        <w:rPr>
          <w:rFonts w:hint="eastAsia"/>
          <w:color w:val="auto"/>
          <w:lang w:val="en-US" w:eastAsia="zh-CN"/>
        </w:rPr>
        <w:t>坝</w:t>
      </w:r>
      <w:r>
        <w:rPr>
          <w:color w:val="auto"/>
        </w:rPr>
        <w:t>符合性评价</w:t>
      </w:r>
      <w:bookmarkEnd w:id="461"/>
      <w:bookmarkEnd w:id="462"/>
      <w:bookmarkEnd w:id="463"/>
      <w:bookmarkEnd w:id="464"/>
    </w:p>
    <w:p w14:paraId="6977118C">
      <w:pPr>
        <w:rPr>
          <w:color w:val="auto"/>
        </w:rPr>
      </w:pPr>
      <w:r>
        <w:rPr>
          <w:color w:val="auto"/>
        </w:rPr>
        <w:t>根据《</w:t>
      </w:r>
      <w:r>
        <w:rPr>
          <w:rFonts w:hint="eastAsia"/>
          <w:color w:val="auto"/>
          <w:lang w:eastAsia="zh-CN"/>
        </w:rPr>
        <w:t>元谋县大远矿业有限公司红坡铁矿选厂尾矿库闭库工程</w:t>
      </w:r>
      <w:r>
        <w:rPr>
          <w:color w:val="auto"/>
        </w:rPr>
        <w:t>安全设施设计》、《尾矿库安全监督管理规定》（国家安全生产监督管理总局令第38号）、《尾矿库安全规程》（GB39496-2020）。采用安全检查表对尾矿库闭库工程进行符合性评价。</w:t>
      </w:r>
    </w:p>
    <w:p w14:paraId="68090FA9">
      <w:pPr>
        <w:pStyle w:val="18"/>
        <w:keepNext/>
        <w:rPr>
          <w:rFonts w:cs="Times New Roman"/>
          <w:color w:val="auto"/>
        </w:rPr>
      </w:pPr>
      <w:r>
        <w:rPr>
          <w:rFonts w:cs="Times New Roman"/>
          <w:color w:val="auto"/>
        </w:rPr>
        <w:t>表</w:t>
      </w:r>
      <w:r>
        <w:rPr>
          <w:rFonts w:hint="eastAsia" w:cs="Times New Roman"/>
          <w:color w:val="auto"/>
          <w:lang w:val="en-US" w:eastAsia="zh-CN"/>
        </w:rPr>
        <w:t>4</w:t>
      </w:r>
      <w:r>
        <w:rPr>
          <w:rFonts w:cs="Times New Roman"/>
          <w:color w:val="auto"/>
        </w:rPr>
        <w:noBreakHyphen/>
      </w:r>
      <w:r>
        <w:rPr>
          <w:rFonts w:hint="eastAsia" w:cs="Times New Roman"/>
          <w:color w:val="auto"/>
          <w:lang w:val="en-US" w:eastAsia="zh-CN"/>
        </w:rPr>
        <w:t>2-1</w:t>
      </w:r>
      <w:r>
        <w:rPr>
          <w:rFonts w:cs="Times New Roman"/>
          <w:color w:val="auto"/>
        </w:rPr>
        <w:t>尾矿</w:t>
      </w:r>
      <w:r>
        <w:rPr>
          <w:rFonts w:hint="eastAsia" w:cs="Times New Roman"/>
          <w:color w:val="auto"/>
          <w:lang w:val="en-US" w:eastAsia="zh-CN"/>
        </w:rPr>
        <w:t>坝</w:t>
      </w:r>
      <w:r>
        <w:rPr>
          <w:rFonts w:cs="Times New Roman"/>
          <w:color w:val="auto"/>
        </w:rPr>
        <w:t>安全检查表</w:t>
      </w:r>
    </w:p>
    <w:tbl>
      <w:tblPr>
        <w:tblStyle w:val="5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
        <w:gridCol w:w="3337"/>
        <w:gridCol w:w="1608"/>
        <w:gridCol w:w="3045"/>
        <w:gridCol w:w="743"/>
      </w:tblGrid>
      <w:tr w14:paraId="1E8CC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vAlign w:val="center"/>
          </w:tcPr>
          <w:p w14:paraId="4E56C344">
            <w:pPr>
              <w:pStyle w:val="70"/>
              <w:jc w:val="center"/>
              <w:rPr>
                <w:color w:val="auto"/>
              </w:rPr>
            </w:pPr>
            <w:r>
              <w:rPr>
                <w:color w:val="auto"/>
              </w:rPr>
              <w:t>序号</w:t>
            </w:r>
          </w:p>
        </w:tc>
        <w:tc>
          <w:tcPr>
            <w:tcW w:w="0" w:type="auto"/>
            <w:vAlign w:val="center"/>
          </w:tcPr>
          <w:p w14:paraId="316EC0EE">
            <w:pPr>
              <w:pStyle w:val="70"/>
              <w:jc w:val="center"/>
              <w:rPr>
                <w:color w:val="auto"/>
              </w:rPr>
            </w:pPr>
            <w:r>
              <w:rPr>
                <w:color w:val="auto"/>
              </w:rPr>
              <w:t>检查内容</w:t>
            </w:r>
          </w:p>
        </w:tc>
        <w:tc>
          <w:tcPr>
            <w:tcW w:w="0" w:type="auto"/>
            <w:vAlign w:val="center"/>
          </w:tcPr>
          <w:p w14:paraId="53678370">
            <w:pPr>
              <w:pStyle w:val="70"/>
              <w:jc w:val="center"/>
              <w:rPr>
                <w:color w:val="auto"/>
              </w:rPr>
            </w:pPr>
            <w:r>
              <w:rPr>
                <w:color w:val="auto"/>
              </w:rPr>
              <w:t>检查依据</w:t>
            </w:r>
          </w:p>
        </w:tc>
        <w:tc>
          <w:tcPr>
            <w:tcW w:w="3045" w:type="dxa"/>
            <w:vAlign w:val="center"/>
          </w:tcPr>
          <w:p w14:paraId="68FCB1A8">
            <w:pPr>
              <w:pStyle w:val="70"/>
              <w:jc w:val="center"/>
              <w:rPr>
                <w:color w:val="auto"/>
              </w:rPr>
            </w:pPr>
            <w:r>
              <w:rPr>
                <w:color w:val="auto"/>
              </w:rPr>
              <w:t>检查情况</w:t>
            </w:r>
          </w:p>
        </w:tc>
        <w:tc>
          <w:tcPr>
            <w:tcW w:w="743" w:type="dxa"/>
            <w:vAlign w:val="center"/>
          </w:tcPr>
          <w:p w14:paraId="12ED8132">
            <w:pPr>
              <w:pStyle w:val="70"/>
              <w:jc w:val="center"/>
              <w:rPr>
                <w:color w:val="auto"/>
              </w:rPr>
            </w:pPr>
            <w:r>
              <w:rPr>
                <w:color w:val="auto"/>
              </w:rPr>
              <w:t>检查结果</w:t>
            </w:r>
          </w:p>
        </w:tc>
      </w:tr>
      <w:tr w14:paraId="08623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0" w:type="auto"/>
            <w:vAlign w:val="center"/>
          </w:tcPr>
          <w:p w14:paraId="0DBA10FF">
            <w:pPr>
              <w:pStyle w:val="70"/>
              <w:numPr>
                <w:ilvl w:val="0"/>
                <w:numId w:val="7"/>
              </w:numPr>
              <w:rPr>
                <w:color w:val="auto"/>
              </w:rPr>
            </w:pPr>
          </w:p>
        </w:tc>
        <w:tc>
          <w:tcPr>
            <w:tcW w:w="0" w:type="auto"/>
            <w:vAlign w:val="center"/>
          </w:tcPr>
          <w:p w14:paraId="7A2EC2E8">
            <w:pPr>
              <w:pStyle w:val="70"/>
              <w:rPr>
                <w:color w:val="auto"/>
              </w:rPr>
            </w:pPr>
            <w:r>
              <w:rPr>
                <w:rFonts w:hint="eastAsia"/>
                <w:color w:val="auto"/>
              </w:rPr>
              <w:t>设计采用毛石对初期坝脚进行护脚，护脚从初期坝坝脚向下游延伸20</w:t>
            </w:r>
            <w:r>
              <w:rPr>
                <w:rFonts w:hint="eastAsia"/>
                <w:color w:val="auto"/>
                <w:lang w:eastAsia="zh-CN"/>
              </w:rPr>
              <w:t>m</w:t>
            </w:r>
            <w:r>
              <w:rPr>
                <w:rFonts w:hint="eastAsia"/>
                <w:color w:val="auto"/>
              </w:rPr>
              <w:t>，护脚厚2</w:t>
            </w:r>
            <w:r>
              <w:rPr>
                <w:rFonts w:hint="eastAsia"/>
                <w:color w:val="auto"/>
                <w:lang w:eastAsia="zh-CN"/>
              </w:rPr>
              <w:t>m</w:t>
            </w:r>
            <w:r>
              <w:rPr>
                <w:rFonts w:hint="eastAsia"/>
                <w:color w:val="auto"/>
              </w:rPr>
              <w:t>，需毛石约1000</w:t>
            </w:r>
            <w:r>
              <w:rPr>
                <w:rFonts w:hint="eastAsia"/>
                <w:color w:val="auto"/>
                <w:vertAlign w:val="baseline"/>
                <w:lang w:eastAsia="zh-CN"/>
              </w:rPr>
              <w:t>m</w:t>
            </w:r>
            <w:r>
              <w:rPr>
                <w:rFonts w:hint="eastAsia"/>
                <w:color w:val="auto"/>
                <w:vertAlign w:val="superscript"/>
                <w:lang w:eastAsia="zh-CN"/>
              </w:rPr>
              <w:t>3</w:t>
            </w:r>
            <w:r>
              <w:rPr>
                <w:rFonts w:hint="eastAsia"/>
                <w:color w:val="auto"/>
              </w:rPr>
              <w:t>，</w:t>
            </w:r>
          </w:p>
        </w:tc>
        <w:tc>
          <w:tcPr>
            <w:tcW w:w="0" w:type="auto"/>
            <w:vMerge w:val="restart"/>
            <w:vAlign w:val="center"/>
          </w:tcPr>
          <w:p w14:paraId="2B79DC6C">
            <w:pPr>
              <w:pStyle w:val="70"/>
              <w:rPr>
                <w:color w:val="auto"/>
              </w:rPr>
            </w:pPr>
            <w:r>
              <w:rPr>
                <w:color w:val="auto"/>
              </w:rPr>
              <w:t>《</w:t>
            </w:r>
            <w:r>
              <w:rPr>
                <w:rFonts w:hint="eastAsia"/>
                <w:color w:val="auto"/>
                <w:lang w:eastAsia="zh-CN"/>
              </w:rPr>
              <w:t>元谋县大远矿业有限公司红坡铁矿选厂尾矿库闭库工程</w:t>
            </w:r>
            <w:r>
              <w:rPr>
                <w:color w:val="auto"/>
              </w:rPr>
              <w:t>安全设施设计》</w:t>
            </w:r>
          </w:p>
        </w:tc>
        <w:tc>
          <w:tcPr>
            <w:tcW w:w="3045" w:type="dxa"/>
            <w:vAlign w:val="center"/>
          </w:tcPr>
          <w:p w14:paraId="42C20628">
            <w:pPr>
              <w:pStyle w:val="70"/>
              <w:rPr>
                <w:rFonts w:hint="default" w:eastAsia="宋体"/>
                <w:color w:val="auto"/>
                <w:lang w:val="en-US" w:eastAsia="zh-CN"/>
              </w:rPr>
            </w:pPr>
            <w:r>
              <w:rPr>
                <w:rFonts w:hint="default" w:eastAsia="宋体"/>
                <w:color w:val="auto"/>
                <w:lang w:val="en-US" w:eastAsia="zh-CN"/>
              </w:rPr>
              <w:t>在初期坝坝脚用毛石进行了护脚，向下游延伸24</w:t>
            </w:r>
            <w:r>
              <w:rPr>
                <w:rFonts w:hint="eastAsia"/>
                <w:color w:val="auto"/>
                <w:lang w:val="en-US" w:eastAsia="zh-CN"/>
              </w:rPr>
              <w:t>m</w:t>
            </w:r>
            <w:r>
              <w:rPr>
                <w:rFonts w:hint="default" w:eastAsia="宋体"/>
                <w:color w:val="auto"/>
                <w:lang w:val="en-US" w:eastAsia="zh-CN"/>
              </w:rPr>
              <w:t>，面积498</w:t>
            </w:r>
            <w:r>
              <w:rPr>
                <w:rFonts w:hint="eastAsia"/>
                <w:color w:val="auto"/>
                <w:vertAlign w:val="baseline"/>
                <w:lang w:val="en-US" w:eastAsia="zh-CN"/>
              </w:rPr>
              <w:t>m</w:t>
            </w:r>
            <w:r>
              <w:rPr>
                <w:rFonts w:hint="eastAsia"/>
                <w:color w:val="auto"/>
                <w:vertAlign w:val="superscript"/>
                <w:lang w:val="en-US" w:eastAsia="zh-CN"/>
              </w:rPr>
              <w:t>2</w:t>
            </w:r>
            <w:r>
              <w:rPr>
                <w:rFonts w:hint="default" w:eastAsia="宋体"/>
                <w:color w:val="auto"/>
                <w:lang w:val="en-US" w:eastAsia="zh-CN"/>
              </w:rPr>
              <w:t>，</w:t>
            </w:r>
            <w:r>
              <w:rPr>
                <w:rFonts w:hint="eastAsia"/>
                <w:color w:val="auto"/>
                <w:lang w:val="en-US" w:eastAsia="zh-CN"/>
              </w:rPr>
              <w:t>查阅竣工资料</w:t>
            </w:r>
            <w:r>
              <w:rPr>
                <w:rFonts w:hint="default" w:eastAsia="宋体"/>
                <w:color w:val="auto"/>
                <w:lang w:val="en-US" w:eastAsia="zh-CN"/>
              </w:rPr>
              <w:t>毛石填方996.56</w:t>
            </w:r>
            <w:r>
              <w:rPr>
                <w:rFonts w:hint="eastAsia"/>
                <w:color w:val="auto"/>
                <w:vertAlign w:val="baseline"/>
                <w:lang w:val="en-US" w:eastAsia="zh-CN"/>
              </w:rPr>
              <w:t>m</w:t>
            </w:r>
            <w:r>
              <w:rPr>
                <w:rFonts w:hint="eastAsia"/>
                <w:color w:val="auto"/>
                <w:vertAlign w:val="superscript"/>
                <w:lang w:val="en-US" w:eastAsia="zh-CN"/>
              </w:rPr>
              <w:t>3</w:t>
            </w:r>
            <w:r>
              <w:rPr>
                <w:rFonts w:hint="eastAsia"/>
                <w:color w:val="auto"/>
                <w:vertAlign w:val="baseline"/>
                <w:lang w:val="en-US" w:eastAsia="zh-CN"/>
              </w:rPr>
              <w:t>。</w:t>
            </w:r>
          </w:p>
        </w:tc>
        <w:tc>
          <w:tcPr>
            <w:tcW w:w="743" w:type="dxa"/>
            <w:vAlign w:val="center"/>
          </w:tcPr>
          <w:p w14:paraId="3F99CB64">
            <w:pPr>
              <w:pStyle w:val="70"/>
              <w:jc w:val="center"/>
              <w:rPr>
                <w:color w:val="auto"/>
              </w:rPr>
            </w:pPr>
            <w:r>
              <w:rPr>
                <w:color w:val="auto"/>
              </w:rPr>
              <w:t>符合</w:t>
            </w:r>
          </w:p>
        </w:tc>
      </w:tr>
      <w:tr w14:paraId="2F296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6761FE5C">
            <w:pPr>
              <w:pStyle w:val="70"/>
              <w:numPr>
                <w:ilvl w:val="0"/>
                <w:numId w:val="7"/>
              </w:numPr>
              <w:rPr>
                <w:color w:val="auto"/>
                <w:highlight w:val="none"/>
              </w:rPr>
            </w:pPr>
          </w:p>
        </w:tc>
        <w:tc>
          <w:tcPr>
            <w:tcW w:w="0" w:type="auto"/>
            <w:vAlign w:val="center"/>
          </w:tcPr>
          <w:p w14:paraId="0BD065CD">
            <w:pPr>
              <w:pStyle w:val="70"/>
              <w:rPr>
                <w:color w:val="auto"/>
                <w:highlight w:val="none"/>
              </w:rPr>
            </w:pPr>
            <w:r>
              <w:rPr>
                <w:rFonts w:hint="eastAsia"/>
                <w:color w:val="auto"/>
                <w:highlight w:val="none"/>
              </w:rPr>
              <w:t>在护脚末端设置一24</w:t>
            </w:r>
            <w:r>
              <w:rPr>
                <w:rFonts w:hint="eastAsia"/>
                <w:color w:val="auto"/>
                <w:highlight w:val="none"/>
                <w:vertAlign w:val="baseline"/>
                <w:lang w:eastAsia="zh-CN"/>
              </w:rPr>
              <w:t>m</w:t>
            </w:r>
            <w:r>
              <w:rPr>
                <w:rFonts w:hint="eastAsia"/>
                <w:color w:val="auto"/>
                <w:highlight w:val="none"/>
                <w:vertAlign w:val="superscript"/>
                <w:lang w:eastAsia="zh-CN"/>
              </w:rPr>
              <w:t>3</w:t>
            </w:r>
            <w:r>
              <w:rPr>
                <w:rFonts w:hint="eastAsia"/>
                <w:color w:val="auto"/>
                <w:highlight w:val="none"/>
              </w:rPr>
              <w:t>的集水池，并拆除村民修筑的挡水土坝。</w:t>
            </w:r>
          </w:p>
        </w:tc>
        <w:tc>
          <w:tcPr>
            <w:tcW w:w="0" w:type="auto"/>
            <w:vMerge w:val="continue"/>
            <w:vAlign w:val="center"/>
          </w:tcPr>
          <w:p w14:paraId="60B8F0AE">
            <w:pPr>
              <w:pStyle w:val="70"/>
              <w:rPr>
                <w:color w:val="auto"/>
                <w:highlight w:val="none"/>
              </w:rPr>
            </w:pPr>
          </w:p>
        </w:tc>
        <w:tc>
          <w:tcPr>
            <w:tcW w:w="3045" w:type="dxa"/>
            <w:vAlign w:val="center"/>
          </w:tcPr>
          <w:p w14:paraId="6D618C62">
            <w:pPr>
              <w:pStyle w:val="70"/>
              <w:rPr>
                <w:rFonts w:hint="default" w:eastAsia="宋体"/>
                <w:color w:val="auto"/>
                <w:highlight w:val="none"/>
                <w:lang w:val="en-US" w:eastAsia="zh-CN"/>
              </w:rPr>
            </w:pPr>
            <w:r>
              <w:rPr>
                <w:rFonts w:hint="default" w:eastAsia="宋体"/>
                <w:color w:val="auto"/>
                <w:highlight w:val="none"/>
                <w:lang w:val="en-US" w:eastAsia="zh-CN"/>
              </w:rPr>
              <w:t>下游挡水土坝因未能与村民达成协议，无法拆除，同时</w:t>
            </w:r>
            <w:r>
              <w:rPr>
                <w:rFonts w:hint="eastAsia"/>
                <w:color w:val="auto"/>
                <w:highlight w:val="none"/>
                <w:lang w:val="en-US" w:eastAsia="zh-CN"/>
              </w:rPr>
              <w:t>导致</w:t>
            </w:r>
            <w:r>
              <w:rPr>
                <w:rFonts w:hint="default" w:eastAsia="宋体"/>
                <w:color w:val="auto"/>
                <w:highlight w:val="none"/>
                <w:lang w:val="en-US" w:eastAsia="zh-CN"/>
              </w:rPr>
              <w:t>集水池也未建设</w:t>
            </w:r>
            <w:r>
              <w:rPr>
                <w:rFonts w:hint="eastAsia"/>
                <w:color w:val="auto"/>
                <w:highlight w:val="none"/>
                <w:lang w:val="en-US" w:eastAsia="zh-CN"/>
              </w:rPr>
              <w:t>。</w:t>
            </w:r>
          </w:p>
        </w:tc>
        <w:tc>
          <w:tcPr>
            <w:tcW w:w="743" w:type="dxa"/>
            <w:vAlign w:val="center"/>
          </w:tcPr>
          <w:p w14:paraId="2E0111DF">
            <w:pPr>
              <w:pStyle w:val="70"/>
              <w:jc w:val="center"/>
              <w:rPr>
                <w:color w:val="auto"/>
                <w:highlight w:val="none"/>
              </w:rPr>
            </w:pPr>
            <w:r>
              <w:rPr>
                <w:rFonts w:hint="eastAsia"/>
                <w:color w:val="auto"/>
                <w:highlight w:val="none"/>
                <w:lang w:val="en-US" w:eastAsia="zh-CN"/>
              </w:rPr>
              <w:t>不</w:t>
            </w:r>
            <w:r>
              <w:rPr>
                <w:color w:val="auto"/>
                <w:highlight w:val="none"/>
              </w:rPr>
              <w:t>符合</w:t>
            </w:r>
          </w:p>
        </w:tc>
      </w:tr>
      <w:tr w14:paraId="4C8B8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78BE4C71">
            <w:pPr>
              <w:pStyle w:val="70"/>
              <w:numPr>
                <w:ilvl w:val="0"/>
                <w:numId w:val="7"/>
              </w:numPr>
              <w:rPr>
                <w:color w:val="auto"/>
              </w:rPr>
            </w:pPr>
          </w:p>
        </w:tc>
        <w:tc>
          <w:tcPr>
            <w:tcW w:w="0" w:type="auto"/>
            <w:vAlign w:val="center"/>
          </w:tcPr>
          <w:p w14:paraId="635840BE">
            <w:pPr>
              <w:pStyle w:val="70"/>
              <w:rPr>
                <w:rFonts w:hint="eastAsia" w:eastAsia="宋体"/>
                <w:color w:val="auto"/>
                <w:lang w:eastAsia="zh-CN"/>
              </w:rPr>
            </w:pPr>
            <w:r>
              <w:rPr>
                <w:rFonts w:hint="eastAsia" w:eastAsia="宋体"/>
                <w:color w:val="auto"/>
                <w:lang w:val="en-US" w:eastAsia="zh-CN"/>
              </w:rPr>
              <w:t>把库区前部较高处尾矿分层削坡（分层削坡厚度小于1.5</w:t>
            </w:r>
            <w:r>
              <w:rPr>
                <w:rFonts w:hint="eastAsia"/>
                <w:color w:val="auto"/>
                <w:lang w:val="en-US" w:eastAsia="zh-CN"/>
              </w:rPr>
              <w:t>m</w:t>
            </w:r>
            <w:r>
              <w:rPr>
                <w:rFonts w:hint="eastAsia" w:eastAsia="宋体"/>
                <w:color w:val="auto"/>
                <w:lang w:val="en-US" w:eastAsia="zh-CN"/>
              </w:rPr>
              <w:t>），尾矿坝整治后，坝顶标高由原1911.5</w:t>
            </w:r>
            <w:r>
              <w:rPr>
                <w:rFonts w:hint="eastAsia"/>
                <w:color w:val="auto"/>
                <w:lang w:val="en-US" w:eastAsia="zh-CN"/>
              </w:rPr>
              <w:t>m</w:t>
            </w:r>
            <w:r>
              <w:rPr>
                <w:rFonts w:hint="eastAsia" w:eastAsia="宋体"/>
                <w:color w:val="auto"/>
                <w:lang w:val="en-US" w:eastAsia="zh-CN"/>
              </w:rPr>
              <w:t>降低至1907.5</w:t>
            </w:r>
            <w:r>
              <w:rPr>
                <w:rFonts w:hint="eastAsia"/>
                <w:color w:val="auto"/>
                <w:lang w:val="en-US" w:eastAsia="zh-CN"/>
              </w:rPr>
              <w:t>m</w:t>
            </w:r>
          </w:p>
        </w:tc>
        <w:tc>
          <w:tcPr>
            <w:tcW w:w="0" w:type="auto"/>
            <w:vMerge w:val="continue"/>
            <w:vAlign w:val="center"/>
          </w:tcPr>
          <w:p w14:paraId="0FB6EF83">
            <w:pPr>
              <w:pStyle w:val="70"/>
              <w:rPr>
                <w:color w:val="auto"/>
              </w:rPr>
            </w:pPr>
          </w:p>
        </w:tc>
        <w:tc>
          <w:tcPr>
            <w:tcW w:w="3045" w:type="dxa"/>
            <w:vAlign w:val="center"/>
          </w:tcPr>
          <w:p w14:paraId="709CDCDD">
            <w:pPr>
              <w:pStyle w:val="70"/>
              <w:rPr>
                <w:rFonts w:hint="default" w:eastAsia="宋体"/>
                <w:color w:val="auto"/>
                <w:lang w:val="en-US" w:eastAsia="zh-CN"/>
              </w:rPr>
            </w:pPr>
            <w:r>
              <w:rPr>
                <w:rFonts w:hint="default" w:eastAsia="宋体"/>
                <w:color w:val="auto"/>
                <w:lang w:val="en-US" w:eastAsia="zh-CN"/>
              </w:rPr>
              <w:t>经过现场勘查堆积坝坝顶已经进行了削坡，根据竣工图总坝高39</w:t>
            </w:r>
            <w:r>
              <w:rPr>
                <w:rFonts w:hint="eastAsia"/>
                <w:color w:val="auto"/>
                <w:lang w:val="en-US" w:eastAsia="zh-CN"/>
              </w:rPr>
              <w:t>m</w:t>
            </w:r>
            <w:r>
              <w:rPr>
                <w:rFonts w:hint="default" w:eastAsia="宋体"/>
                <w:color w:val="auto"/>
                <w:lang w:val="en-US" w:eastAsia="zh-CN"/>
              </w:rPr>
              <w:t>，堆积坝坝顶标高1907.5</w:t>
            </w:r>
            <w:r>
              <w:rPr>
                <w:rFonts w:hint="eastAsia"/>
                <w:color w:val="auto"/>
                <w:lang w:val="en-US" w:eastAsia="zh-CN"/>
              </w:rPr>
              <w:t>m</w:t>
            </w:r>
            <w:r>
              <w:rPr>
                <w:rFonts w:hint="default" w:eastAsia="宋体"/>
                <w:color w:val="auto"/>
                <w:lang w:val="en-US" w:eastAsia="zh-CN"/>
              </w:rPr>
              <w:t>（设计标高1907.5</w:t>
            </w:r>
            <w:r>
              <w:rPr>
                <w:rFonts w:hint="eastAsia"/>
                <w:color w:val="auto"/>
                <w:lang w:val="en-US" w:eastAsia="zh-CN"/>
              </w:rPr>
              <w:t>m</w:t>
            </w:r>
            <w:r>
              <w:rPr>
                <w:rFonts w:hint="default" w:eastAsia="宋体"/>
                <w:color w:val="auto"/>
                <w:lang w:val="en-US" w:eastAsia="zh-CN"/>
              </w:rPr>
              <w:t>），堆积尾矿量不变为83万</w:t>
            </w:r>
            <w:r>
              <w:rPr>
                <w:rFonts w:hint="eastAsia"/>
                <w:color w:val="auto"/>
                <w:vertAlign w:val="baseline"/>
                <w:lang w:val="en-US" w:eastAsia="zh-CN"/>
              </w:rPr>
              <w:t>m</w:t>
            </w:r>
            <w:r>
              <w:rPr>
                <w:rFonts w:hint="eastAsia"/>
                <w:color w:val="auto"/>
                <w:vertAlign w:val="superscript"/>
                <w:lang w:val="en-US" w:eastAsia="zh-CN"/>
              </w:rPr>
              <w:t>3</w:t>
            </w:r>
            <w:r>
              <w:rPr>
                <w:rFonts w:hint="default" w:eastAsia="宋体"/>
                <w:color w:val="auto"/>
                <w:lang w:val="en-US" w:eastAsia="zh-CN"/>
              </w:rPr>
              <w:t>，为四等库。</w:t>
            </w:r>
          </w:p>
        </w:tc>
        <w:tc>
          <w:tcPr>
            <w:tcW w:w="743" w:type="dxa"/>
            <w:vAlign w:val="center"/>
          </w:tcPr>
          <w:p w14:paraId="2519141A">
            <w:pPr>
              <w:pStyle w:val="70"/>
              <w:jc w:val="center"/>
              <w:rPr>
                <w:color w:val="auto"/>
              </w:rPr>
            </w:pPr>
            <w:r>
              <w:rPr>
                <w:color w:val="auto"/>
              </w:rPr>
              <w:t>符合</w:t>
            </w:r>
          </w:p>
        </w:tc>
      </w:tr>
      <w:tr w14:paraId="233D5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2F8C2805">
            <w:pPr>
              <w:pStyle w:val="70"/>
              <w:numPr>
                <w:ilvl w:val="0"/>
                <w:numId w:val="7"/>
              </w:numPr>
              <w:rPr>
                <w:color w:val="auto"/>
              </w:rPr>
            </w:pPr>
          </w:p>
        </w:tc>
        <w:tc>
          <w:tcPr>
            <w:tcW w:w="0" w:type="auto"/>
            <w:vAlign w:val="center"/>
          </w:tcPr>
          <w:p w14:paraId="2C756B8A">
            <w:pPr>
              <w:pStyle w:val="70"/>
              <w:rPr>
                <w:rFonts w:hint="eastAsia" w:eastAsia="宋体"/>
                <w:color w:val="auto"/>
                <w:lang w:val="en-US" w:eastAsia="zh-CN"/>
              </w:rPr>
            </w:pPr>
            <w:r>
              <w:rPr>
                <w:rFonts w:hint="eastAsia" w:eastAsia="宋体"/>
                <w:color w:val="auto"/>
                <w:lang w:val="en-US" w:eastAsia="zh-CN"/>
              </w:rPr>
              <w:t>在整治闭库后在尾矿坝上设置踏步，踏步宽1</w:t>
            </w:r>
            <w:r>
              <w:rPr>
                <w:rFonts w:hint="eastAsia"/>
                <w:color w:val="auto"/>
                <w:lang w:val="en-US" w:eastAsia="zh-CN"/>
              </w:rPr>
              <w:t>m</w:t>
            </w:r>
          </w:p>
        </w:tc>
        <w:tc>
          <w:tcPr>
            <w:tcW w:w="0" w:type="auto"/>
            <w:vMerge w:val="continue"/>
            <w:vAlign w:val="center"/>
          </w:tcPr>
          <w:p w14:paraId="594DB933">
            <w:pPr>
              <w:pStyle w:val="70"/>
              <w:rPr>
                <w:color w:val="auto"/>
              </w:rPr>
            </w:pPr>
          </w:p>
        </w:tc>
        <w:tc>
          <w:tcPr>
            <w:tcW w:w="3045" w:type="dxa"/>
            <w:vAlign w:val="center"/>
          </w:tcPr>
          <w:p w14:paraId="40E1CBC9">
            <w:pPr>
              <w:pStyle w:val="70"/>
              <w:rPr>
                <w:rFonts w:hint="default" w:eastAsia="宋体"/>
                <w:color w:val="auto"/>
                <w:lang w:val="en-US" w:eastAsia="zh-CN"/>
              </w:rPr>
            </w:pPr>
            <w:r>
              <w:rPr>
                <w:rFonts w:hint="default" w:eastAsia="宋体"/>
                <w:color w:val="auto"/>
                <w:lang w:val="en-US" w:eastAsia="zh-CN"/>
              </w:rPr>
              <w:t>经过现场勘查已在堆积坝上修筑了2段人行梯，根据竣工图施工长度总计112.8</w:t>
            </w:r>
            <w:r>
              <w:rPr>
                <w:rFonts w:hint="eastAsia"/>
                <w:color w:val="auto"/>
                <w:lang w:val="en-US" w:eastAsia="zh-CN"/>
              </w:rPr>
              <w:t>m</w:t>
            </w:r>
            <w:r>
              <w:rPr>
                <w:rFonts w:hint="default" w:eastAsia="宋体"/>
                <w:color w:val="auto"/>
                <w:lang w:val="en-US" w:eastAsia="zh-CN"/>
              </w:rPr>
              <w:t>，宽度1</w:t>
            </w:r>
            <w:r>
              <w:rPr>
                <w:rFonts w:hint="eastAsia"/>
                <w:color w:val="auto"/>
                <w:lang w:val="en-US" w:eastAsia="zh-CN"/>
              </w:rPr>
              <w:t>m</w:t>
            </w:r>
          </w:p>
        </w:tc>
        <w:tc>
          <w:tcPr>
            <w:tcW w:w="743" w:type="dxa"/>
            <w:vAlign w:val="center"/>
          </w:tcPr>
          <w:p w14:paraId="1AE489AE">
            <w:pPr>
              <w:pStyle w:val="70"/>
              <w:jc w:val="center"/>
              <w:rPr>
                <w:rFonts w:hint="default" w:eastAsia="宋体"/>
                <w:color w:val="auto"/>
                <w:lang w:val="en-US" w:eastAsia="zh-CN"/>
              </w:rPr>
            </w:pPr>
            <w:r>
              <w:rPr>
                <w:rFonts w:hint="eastAsia"/>
                <w:color w:val="auto"/>
                <w:lang w:val="en-US" w:eastAsia="zh-CN"/>
              </w:rPr>
              <w:t>符合</w:t>
            </w:r>
          </w:p>
        </w:tc>
      </w:tr>
      <w:tr w14:paraId="5B610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283B591C">
            <w:pPr>
              <w:pStyle w:val="70"/>
              <w:numPr>
                <w:ilvl w:val="0"/>
                <w:numId w:val="7"/>
              </w:numPr>
              <w:rPr>
                <w:color w:val="auto"/>
              </w:rPr>
            </w:pPr>
          </w:p>
        </w:tc>
        <w:tc>
          <w:tcPr>
            <w:tcW w:w="0" w:type="auto"/>
            <w:vAlign w:val="center"/>
          </w:tcPr>
          <w:p w14:paraId="04693807">
            <w:pPr>
              <w:pStyle w:val="70"/>
              <w:rPr>
                <w:rFonts w:hint="eastAsia" w:eastAsia="宋体"/>
                <w:color w:val="auto"/>
                <w:lang w:val="en-US" w:eastAsia="zh-CN"/>
              </w:rPr>
            </w:pPr>
            <w:r>
              <w:rPr>
                <w:rFonts w:hint="eastAsia" w:eastAsia="宋体"/>
                <w:color w:val="auto"/>
                <w:lang w:val="en-US" w:eastAsia="zh-CN"/>
              </w:rPr>
              <w:t>左岸原有挡土墙高4</w:t>
            </w:r>
            <w:r>
              <w:rPr>
                <w:rFonts w:hint="eastAsia"/>
                <w:color w:val="auto"/>
                <w:lang w:val="en-US" w:eastAsia="zh-CN"/>
              </w:rPr>
              <w:t>m</w:t>
            </w:r>
            <w:r>
              <w:rPr>
                <w:rFonts w:hint="eastAsia" w:eastAsia="宋体"/>
                <w:color w:val="auto"/>
                <w:lang w:val="en-US" w:eastAsia="zh-CN"/>
              </w:rPr>
              <w:t>，坐落在粘土岩上，基础稳固，本次进行保留</w:t>
            </w:r>
          </w:p>
        </w:tc>
        <w:tc>
          <w:tcPr>
            <w:tcW w:w="0" w:type="auto"/>
            <w:vMerge w:val="continue"/>
            <w:vAlign w:val="center"/>
          </w:tcPr>
          <w:p w14:paraId="58F6964F">
            <w:pPr>
              <w:pStyle w:val="70"/>
              <w:rPr>
                <w:color w:val="auto"/>
              </w:rPr>
            </w:pPr>
          </w:p>
        </w:tc>
        <w:tc>
          <w:tcPr>
            <w:tcW w:w="3045" w:type="dxa"/>
            <w:vAlign w:val="center"/>
          </w:tcPr>
          <w:p w14:paraId="6000E2FC">
            <w:pPr>
              <w:pStyle w:val="70"/>
              <w:rPr>
                <w:rFonts w:hint="default" w:eastAsia="宋体"/>
                <w:color w:val="auto"/>
                <w:lang w:val="en-US" w:eastAsia="zh-CN"/>
              </w:rPr>
            </w:pPr>
            <w:r>
              <w:rPr>
                <w:rFonts w:hint="default" w:eastAsia="宋体"/>
                <w:color w:val="auto"/>
                <w:lang w:val="en-US" w:eastAsia="zh-CN"/>
              </w:rPr>
              <w:t>经过现场勘查左岸挡土墙进行了保留</w:t>
            </w:r>
          </w:p>
        </w:tc>
        <w:tc>
          <w:tcPr>
            <w:tcW w:w="743" w:type="dxa"/>
            <w:vAlign w:val="center"/>
          </w:tcPr>
          <w:p w14:paraId="3F3A303D">
            <w:pPr>
              <w:pStyle w:val="70"/>
              <w:jc w:val="center"/>
              <w:rPr>
                <w:rFonts w:hint="eastAsia" w:eastAsia="宋体"/>
                <w:color w:val="auto"/>
                <w:lang w:val="en-US" w:eastAsia="zh-CN"/>
              </w:rPr>
            </w:pPr>
            <w:r>
              <w:rPr>
                <w:rFonts w:hint="eastAsia"/>
                <w:color w:val="auto"/>
                <w:lang w:val="en-US" w:eastAsia="zh-CN"/>
              </w:rPr>
              <w:t>符合</w:t>
            </w:r>
          </w:p>
        </w:tc>
      </w:tr>
      <w:tr w14:paraId="0A401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4484D1B9">
            <w:pPr>
              <w:pStyle w:val="70"/>
              <w:numPr>
                <w:ilvl w:val="0"/>
                <w:numId w:val="7"/>
              </w:numPr>
              <w:rPr>
                <w:color w:val="auto"/>
              </w:rPr>
            </w:pPr>
          </w:p>
        </w:tc>
        <w:tc>
          <w:tcPr>
            <w:tcW w:w="0" w:type="auto"/>
            <w:vAlign w:val="center"/>
          </w:tcPr>
          <w:p w14:paraId="24749B58">
            <w:pPr>
              <w:pStyle w:val="70"/>
              <w:rPr>
                <w:rFonts w:hint="eastAsia" w:eastAsia="宋体"/>
                <w:color w:val="auto"/>
                <w:lang w:val="en-US" w:eastAsia="zh-CN"/>
              </w:rPr>
            </w:pPr>
            <w:r>
              <w:rPr>
                <w:rFonts w:hint="eastAsia" w:eastAsia="宋体"/>
                <w:color w:val="auto"/>
                <w:lang w:val="en-US" w:eastAsia="zh-CN"/>
              </w:rPr>
              <w:t>在旱季，排空库内尾部少部分积水并进行晾晒，把库区前部较高处尾矿分层削坡（分层削坡厚度小于1.5</w:t>
            </w:r>
            <w:r>
              <w:rPr>
                <w:rFonts w:hint="eastAsia"/>
                <w:color w:val="auto"/>
                <w:lang w:val="en-US" w:eastAsia="zh-CN"/>
              </w:rPr>
              <w:t>m</w:t>
            </w:r>
            <w:r>
              <w:rPr>
                <w:rFonts w:hint="eastAsia" w:eastAsia="宋体"/>
                <w:color w:val="auto"/>
                <w:lang w:val="en-US" w:eastAsia="zh-CN"/>
              </w:rPr>
              <w:t>），采用推土机推至库区尾部低洼处碾压夯实（分层碾压夯实厚度小于0.5</w:t>
            </w:r>
            <w:r>
              <w:rPr>
                <w:rFonts w:hint="eastAsia"/>
                <w:color w:val="auto"/>
                <w:lang w:val="en-US" w:eastAsia="zh-CN"/>
              </w:rPr>
              <w:t>m</w:t>
            </w:r>
            <w:r>
              <w:rPr>
                <w:rFonts w:hint="eastAsia" w:eastAsia="宋体"/>
                <w:color w:val="auto"/>
                <w:lang w:val="en-US" w:eastAsia="zh-CN"/>
              </w:rPr>
              <w:t>，压实度不小于0.9），最终形成由库尾向坝前1%的顺坡坡度，削坡回填方量约6.0万</w:t>
            </w:r>
            <w:r>
              <w:rPr>
                <w:rFonts w:hint="eastAsia"/>
                <w:color w:val="auto"/>
                <w:vertAlign w:val="baseline"/>
                <w:lang w:val="en-US" w:eastAsia="zh-CN"/>
              </w:rPr>
              <w:t>m</w:t>
            </w:r>
            <w:r>
              <w:rPr>
                <w:rFonts w:hint="eastAsia"/>
                <w:color w:val="auto"/>
                <w:vertAlign w:val="superscript"/>
                <w:lang w:val="en-US" w:eastAsia="zh-CN"/>
              </w:rPr>
              <w:t>3</w:t>
            </w:r>
          </w:p>
        </w:tc>
        <w:tc>
          <w:tcPr>
            <w:tcW w:w="0" w:type="auto"/>
            <w:vMerge w:val="restart"/>
            <w:vAlign w:val="center"/>
          </w:tcPr>
          <w:p w14:paraId="390E6974">
            <w:pPr>
              <w:pStyle w:val="70"/>
              <w:rPr>
                <w:color w:val="auto"/>
              </w:rPr>
            </w:pPr>
            <w:r>
              <w:rPr>
                <w:color w:val="auto"/>
              </w:rPr>
              <w:t>《</w:t>
            </w:r>
            <w:r>
              <w:rPr>
                <w:rFonts w:hint="eastAsia"/>
                <w:color w:val="auto"/>
                <w:lang w:eastAsia="zh-CN"/>
              </w:rPr>
              <w:t>元谋县大远矿业有限公司红坡铁矿选厂尾矿库闭库工程</w:t>
            </w:r>
            <w:r>
              <w:rPr>
                <w:color w:val="auto"/>
              </w:rPr>
              <w:t>安全设施设计》</w:t>
            </w:r>
          </w:p>
        </w:tc>
        <w:tc>
          <w:tcPr>
            <w:tcW w:w="3045" w:type="dxa"/>
            <w:vAlign w:val="center"/>
          </w:tcPr>
          <w:p w14:paraId="6D418915">
            <w:pPr>
              <w:pStyle w:val="70"/>
              <w:rPr>
                <w:rFonts w:hint="default" w:eastAsia="宋体"/>
                <w:color w:val="auto"/>
                <w:lang w:val="en-US" w:eastAsia="zh-CN"/>
              </w:rPr>
            </w:pPr>
            <w:r>
              <w:rPr>
                <w:rFonts w:hint="default" w:eastAsia="宋体"/>
                <w:color w:val="auto"/>
                <w:lang w:val="en-US" w:eastAsia="zh-CN"/>
              </w:rPr>
              <w:t>经过现场勘查、查阅竣工图，施工单位已按照设计要求完成施工，在将库尾积水排出晾干后，从库区前部削坡推至库尾低洼处碾压夯实，现形成了库尾至坝前1%的顺坡坡度，查阅施工总结报告，开挖方量6.0万</w:t>
            </w:r>
            <w:r>
              <w:rPr>
                <w:rFonts w:hint="eastAsia"/>
                <w:color w:val="auto"/>
                <w:vertAlign w:val="baseline"/>
                <w:lang w:val="en-US" w:eastAsia="zh-CN"/>
              </w:rPr>
              <w:t>m</w:t>
            </w:r>
            <w:r>
              <w:rPr>
                <w:rFonts w:hint="eastAsia"/>
                <w:color w:val="auto"/>
                <w:vertAlign w:val="superscript"/>
                <w:lang w:val="en-US" w:eastAsia="zh-CN"/>
              </w:rPr>
              <w:t>3</w:t>
            </w:r>
            <w:r>
              <w:rPr>
                <w:rFonts w:hint="default" w:eastAsia="宋体"/>
                <w:color w:val="auto"/>
                <w:lang w:val="en-US" w:eastAsia="zh-CN"/>
              </w:rPr>
              <w:t>，回填方量6.00万</w:t>
            </w:r>
            <w:r>
              <w:rPr>
                <w:rFonts w:hint="eastAsia"/>
                <w:color w:val="auto"/>
                <w:vertAlign w:val="baseline"/>
                <w:lang w:val="en-US" w:eastAsia="zh-CN"/>
              </w:rPr>
              <w:t>m</w:t>
            </w:r>
            <w:r>
              <w:rPr>
                <w:rFonts w:hint="eastAsia"/>
                <w:color w:val="auto"/>
                <w:vertAlign w:val="superscript"/>
                <w:lang w:val="en-US" w:eastAsia="zh-CN"/>
              </w:rPr>
              <w:t>3</w:t>
            </w:r>
          </w:p>
        </w:tc>
        <w:tc>
          <w:tcPr>
            <w:tcW w:w="743" w:type="dxa"/>
            <w:vAlign w:val="center"/>
          </w:tcPr>
          <w:p w14:paraId="456F7A14">
            <w:pPr>
              <w:pStyle w:val="70"/>
              <w:jc w:val="center"/>
              <w:rPr>
                <w:rFonts w:hint="default"/>
                <w:color w:val="auto"/>
                <w:lang w:val="en-US" w:eastAsia="zh-CN"/>
              </w:rPr>
            </w:pPr>
            <w:r>
              <w:rPr>
                <w:rFonts w:hint="eastAsia"/>
                <w:color w:val="auto"/>
                <w:lang w:val="en-US" w:eastAsia="zh-CN"/>
              </w:rPr>
              <w:t>符合</w:t>
            </w:r>
          </w:p>
        </w:tc>
      </w:tr>
      <w:tr w14:paraId="5A31F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582F2ACD">
            <w:pPr>
              <w:pStyle w:val="70"/>
              <w:numPr>
                <w:ilvl w:val="0"/>
                <w:numId w:val="7"/>
              </w:numPr>
              <w:rPr>
                <w:color w:val="auto"/>
              </w:rPr>
            </w:pPr>
          </w:p>
        </w:tc>
        <w:tc>
          <w:tcPr>
            <w:tcW w:w="0" w:type="auto"/>
            <w:vAlign w:val="center"/>
          </w:tcPr>
          <w:p w14:paraId="09FAEAC4">
            <w:pPr>
              <w:pStyle w:val="70"/>
              <w:rPr>
                <w:rFonts w:hint="eastAsia" w:eastAsia="宋体"/>
                <w:color w:val="auto"/>
                <w:lang w:val="en-US" w:eastAsia="zh-CN"/>
              </w:rPr>
            </w:pPr>
            <w:r>
              <w:rPr>
                <w:rFonts w:hint="eastAsia" w:eastAsia="宋体"/>
                <w:color w:val="auto"/>
                <w:lang w:val="en-US" w:eastAsia="zh-CN"/>
              </w:rPr>
              <w:t>对场地进行人工覆土，库面覆土厚度约500</w:t>
            </w:r>
            <w:r>
              <w:rPr>
                <w:rFonts w:hint="eastAsia"/>
                <w:color w:val="auto"/>
                <w:lang w:val="en-US" w:eastAsia="zh-CN"/>
              </w:rPr>
              <w:t>mm</w:t>
            </w:r>
            <w:r>
              <w:rPr>
                <w:rFonts w:hint="eastAsia" w:eastAsia="宋体"/>
                <w:color w:val="auto"/>
                <w:lang w:val="en-US" w:eastAsia="zh-CN"/>
              </w:rPr>
              <w:t>，坡面覆土200</w:t>
            </w:r>
            <w:r>
              <w:rPr>
                <w:rFonts w:hint="eastAsia"/>
                <w:color w:val="auto"/>
                <w:lang w:val="en-US" w:eastAsia="zh-CN"/>
              </w:rPr>
              <w:t>mm</w:t>
            </w:r>
            <w:r>
              <w:rPr>
                <w:rFonts w:hint="eastAsia" w:eastAsia="宋体"/>
                <w:color w:val="auto"/>
                <w:lang w:val="en-US" w:eastAsia="zh-CN"/>
              </w:rPr>
              <w:t>，土料来源于附近表层剥离土</w:t>
            </w:r>
          </w:p>
        </w:tc>
        <w:tc>
          <w:tcPr>
            <w:tcW w:w="0" w:type="auto"/>
            <w:vMerge w:val="continue"/>
            <w:vAlign w:val="center"/>
          </w:tcPr>
          <w:p w14:paraId="66E65B7E">
            <w:pPr>
              <w:pStyle w:val="70"/>
              <w:rPr>
                <w:color w:val="auto"/>
              </w:rPr>
            </w:pPr>
          </w:p>
        </w:tc>
        <w:tc>
          <w:tcPr>
            <w:tcW w:w="3045" w:type="dxa"/>
            <w:vAlign w:val="center"/>
          </w:tcPr>
          <w:p w14:paraId="404FFE0C">
            <w:pPr>
              <w:pStyle w:val="70"/>
              <w:rPr>
                <w:rFonts w:hint="default" w:eastAsia="宋体"/>
                <w:color w:val="auto"/>
                <w:lang w:val="en-US" w:eastAsia="zh-CN"/>
              </w:rPr>
            </w:pPr>
            <w:r>
              <w:rPr>
                <w:rFonts w:hint="default" w:eastAsia="宋体"/>
                <w:color w:val="auto"/>
                <w:lang w:val="en-US" w:eastAsia="zh-CN"/>
              </w:rPr>
              <w:t>经过现场勘查，施工单位已从附近表层剥离土料对滩面进行了覆土，查阅施工总结报告，共计覆土28755</w:t>
            </w:r>
            <w:r>
              <w:rPr>
                <w:rFonts w:hint="eastAsia"/>
                <w:color w:val="auto"/>
                <w:vertAlign w:val="baseline"/>
                <w:lang w:val="en-US" w:eastAsia="zh-CN"/>
              </w:rPr>
              <w:t>m</w:t>
            </w:r>
            <w:r>
              <w:rPr>
                <w:rFonts w:hint="eastAsia"/>
                <w:color w:val="auto"/>
                <w:vertAlign w:val="superscript"/>
                <w:lang w:val="en-US" w:eastAsia="zh-CN"/>
              </w:rPr>
              <w:t>3</w:t>
            </w:r>
            <w:r>
              <w:rPr>
                <w:rFonts w:hint="default" w:eastAsia="宋体"/>
                <w:color w:val="auto"/>
                <w:lang w:val="en-US" w:eastAsia="zh-CN"/>
              </w:rPr>
              <w:t>，覆土厚度0.5</w:t>
            </w:r>
            <w:r>
              <w:rPr>
                <w:rFonts w:hint="eastAsia"/>
                <w:color w:val="auto"/>
                <w:lang w:val="en-US" w:eastAsia="zh-CN"/>
              </w:rPr>
              <w:t>m</w:t>
            </w:r>
          </w:p>
        </w:tc>
        <w:tc>
          <w:tcPr>
            <w:tcW w:w="743" w:type="dxa"/>
            <w:vAlign w:val="center"/>
          </w:tcPr>
          <w:p w14:paraId="03066AF3">
            <w:pPr>
              <w:pStyle w:val="70"/>
              <w:jc w:val="center"/>
              <w:rPr>
                <w:rFonts w:hint="default"/>
                <w:color w:val="auto"/>
                <w:lang w:val="en-US" w:eastAsia="zh-CN"/>
              </w:rPr>
            </w:pPr>
            <w:r>
              <w:rPr>
                <w:rFonts w:hint="eastAsia"/>
                <w:color w:val="auto"/>
                <w:lang w:val="en-US" w:eastAsia="zh-CN"/>
              </w:rPr>
              <w:t>符合</w:t>
            </w:r>
          </w:p>
        </w:tc>
      </w:tr>
      <w:tr w14:paraId="79B6D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60CB5EC4">
            <w:pPr>
              <w:pStyle w:val="70"/>
              <w:numPr>
                <w:ilvl w:val="0"/>
                <w:numId w:val="7"/>
              </w:numPr>
              <w:rPr>
                <w:color w:val="auto"/>
                <w:highlight w:val="none"/>
              </w:rPr>
            </w:pPr>
          </w:p>
        </w:tc>
        <w:tc>
          <w:tcPr>
            <w:tcW w:w="0" w:type="auto"/>
            <w:vAlign w:val="center"/>
          </w:tcPr>
          <w:p w14:paraId="3920650C">
            <w:pPr>
              <w:pStyle w:val="70"/>
              <w:rPr>
                <w:rFonts w:hint="eastAsia" w:eastAsia="宋体"/>
                <w:color w:val="auto"/>
                <w:highlight w:val="none"/>
                <w:lang w:val="en-US" w:eastAsia="zh-CN"/>
              </w:rPr>
            </w:pPr>
            <w:r>
              <w:rPr>
                <w:rFonts w:hint="eastAsia" w:eastAsia="宋体"/>
                <w:color w:val="auto"/>
                <w:highlight w:val="none"/>
                <w:lang w:val="en-US" w:eastAsia="zh-CN"/>
              </w:rPr>
              <w:t>根据场地的实际情况，采取播撒草种进行植物种植设计。</w:t>
            </w:r>
          </w:p>
        </w:tc>
        <w:tc>
          <w:tcPr>
            <w:tcW w:w="0" w:type="auto"/>
            <w:vMerge w:val="continue"/>
            <w:vAlign w:val="center"/>
          </w:tcPr>
          <w:p w14:paraId="086A8475">
            <w:pPr>
              <w:pStyle w:val="70"/>
              <w:rPr>
                <w:color w:val="auto"/>
                <w:highlight w:val="none"/>
              </w:rPr>
            </w:pPr>
          </w:p>
        </w:tc>
        <w:tc>
          <w:tcPr>
            <w:tcW w:w="3045" w:type="dxa"/>
            <w:vAlign w:val="center"/>
          </w:tcPr>
          <w:p w14:paraId="0D8566B3">
            <w:pPr>
              <w:pStyle w:val="70"/>
              <w:rPr>
                <w:rFonts w:hint="default" w:eastAsia="宋体"/>
                <w:color w:val="auto"/>
                <w:highlight w:val="none"/>
                <w:lang w:val="en-US" w:eastAsia="zh-CN"/>
              </w:rPr>
            </w:pPr>
            <w:r>
              <w:rPr>
                <w:rFonts w:hint="default" w:eastAsia="宋体"/>
                <w:color w:val="auto"/>
                <w:highlight w:val="none"/>
                <w:lang w:val="en-US" w:eastAsia="zh-CN"/>
              </w:rPr>
              <w:t>经过现场勘查，库面覆土500</w:t>
            </w:r>
            <w:r>
              <w:rPr>
                <w:rFonts w:hint="eastAsia"/>
                <w:color w:val="auto"/>
                <w:highlight w:val="none"/>
                <w:lang w:val="en-US" w:eastAsia="zh-CN"/>
              </w:rPr>
              <w:t>mm</w:t>
            </w:r>
            <w:r>
              <w:rPr>
                <w:rFonts w:hint="default" w:eastAsia="宋体"/>
                <w:color w:val="auto"/>
                <w:highlight w:val="none"/>
                <w:lang w:val="en-US" w:eastAsia="zh-CN"/>
              </w:rPr>
              <w:t>厚种植土，坡面覆土200</w:t>
            </w:r>
            <w:r>
              <w:rPr>
                <w:rFonts w:hint="eastAsia"/>
                <w:color w:val="auto"/>
                <w:highlight w:val="none"/>
                <w:lang w:val="en-US" w:eastAsia="zh-CN"/>
              </w:rPr>
              <w:t>mm</w:t>
            </w:r>
            <w:r>
              <w:rPr>
                <w:rFonts w:hint="default" w:eastAsia="宋体"/>
                <w:color w:val="auto"/>
                <w:highlight w:val="none"/>
                <w:lang w:val="en-US" w:eastAsia="zh-CN"/>
              </w:rPr>
              <w:t>厚种植土，28755.24</w:t>
            </w:r>
            <w:r>
              <w:rPr>
                <w:rFonts w:hint="eastAsia"/>
                <w:color w:val="auto"/>
                <w:highlight w:val="none"/>
                <w:vertAlign w:val="baseline"/>
                <w:lang w:val="en-US" w:eastAsia="zh-CN"/>
              </w:rPr>
              <w:t>m</w:t>
            </w:r>
            <w:r>
              <w:rPr>
                <w:rFonts w:hint="eastAsia"/>
                <w:color w:val="auto"/>
                <w:highlight w:val="none"/>
                <w:vertAlign w:val="superscript"/>
                <w:lang w:val="en-US" w:eastAsia="zh-CN"/>
              </w:rPr>
              <w:t>2</w:t>
            </w:r>
            <w:r>
              <w:rPr>
                <w:rFonts w:hint="default" w:eastAsia="宋体"/>
                <w:color w:val="auto"/>
                <w:highlight w:val="none"/>
                <w:lang w:val="en-US" w:eastAsia="zh-CN"/>
              </w:rPr>
              <w:t xml:space="preserve">，播撤黄茅、狗牙根草籽 57510.47 </w:t>
            </w:r>
            <w:r>
              <w:rPr>
                <w:rFonts w:hint="eastAsia"/>
                <w:color w:val="auto"/>
                <w:highlight w:val="none"/>
                <w:vertAlign w:val="baseline"/>
                <w:lang w:val="en-US" w:eastAsia="zh-CN"/>
              </w:rPr>
              <w:t>m</w:t>
            </w:r>
            <w:r>
              <w:rPr>
                <w:rFonts w:hint="eastAsia"/>
                <w:color w:val="auto"/>
                <w:highlight w:val="none"/>
                <w:vertAlign w:val="superscript"/>
                <w:lang w:val="en-US" w:eastAsia="zh-CN"/>
              </w:rPr>
              <w:t>2</w:t>
            </w:r>
            <w:r>
              <w:rPr>
                <w:rFonts w:hint="eastAsia"/>
                <w:color w:val="auto"/>
                <w:highlight w:val="none"/>
                <w:vertAlign w:val="baseline"/>
                <w:lang w:val="en-US" w:eastAsia="zh-CN"/>
              </w:rPr>
              <w:t>,现阶段成活率较高</w:t>
            </w:r>
            <w:r>
              <w:rPr>
                <w:rFonts w:hint="default" w:eastAsia="宋体"/>
                <w:color w:val="auto"/>
                <w:highlight w:val="none"/>
                <w:lang w:val="en-US" w:eastAsia="zh-CN"/>
              </w:rPr>
              <w:t>。</w:t>
            </w:r>
          </w:p>
        </w:tc>
        <w:tc>
          <w:tcPr>
            <w:tcW w:w="743" w:type="dxa"/>
            <w:vAlign w:val="center"/>
          </w:tcPr>
          <w:p w14:paraId="68D2A917">
            <w:pPr>
              <w:pStyle w:val="70"/>
              <w:jc w:val="center"/>
              <w:rPr>
                <w:rFonts w:hint="default"/>
                <w:color w:val="auto"/>
                <w:highlight w:val="none"/>
                <w:lang w:val="en-US" w:eastAsia="zh-CN"/>
              </w:rPr>
            </w:pPr>
            <w:r>
              <w:rPr>
                <w:rFonts w:hint="eastAsia"/>
                <w:color w:val="auto"/>
                <w:highlight w:val="none"/>
                <w:lang w:val="en-US" w:eastAsia="zh-CN"/>
              </w:rPr>
              <w:t>符合</w:t>
            </w:r>
          </w:p>
        </w:tc>
      </w:tr>
      <w:tr w14:paraId="45889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237DEDB6">
            <w:pPr>
              <w:pStyle w:val="70"/>
              <w:numPr>
                <w:ilvl w:val="0"/>
                <w:numId w:val="7"/>
              </w:numPr>
              <w:rPr>
                <w:color w:val="auto"/>
                <w:highlight w:val="none"/>
              </w:rPr>
            </w:pPr>
          </w:p>
        </w:tc>
        <w:tc>
          <w:tcPr>
            <w:tcW w:w="0" w:type="auto"/>
            <w:vAlign w:val="center"/>
          </w:tcPr>
          <w:p w14:paraId="21C8DDCA">
            <w:pPr>
              <w:pStyle w:val="70"/>
              <w:rPr>
                <w:color w:val="auto"/>
                <w:highlight w:val="none"/>
              </w:rPr>
            </w:pPr>
            <w:r>
              <w:rPr>
                <w:color w:val="auto"/>
                <w:highlight w:val="none"/>
              </w:rPr>
              <w:t>尾矿库运行到设计最终标高或者不再进行排尾作业的，应当在一年内完成闭库。特殊情况不能按期完成闭库的，应当报经相应的安全生产监督管理部门同意后方可延期，但延长期限不得超过6个月。</w:t>
            </w:r>
          </w:p>
        </w:tc>
        <w:tc>
          <w:tcPr>
            <w:tcW w:w="0" w:type="auto"/>
            <w:vMerge w:val="restart"/>
            <w:vAlign w:val="center"/>
          </w:tcPr>
          <w:p w14:paraId="3E883569">
            <w:pPr>
              <w:pStyle w:val="70"/>
              <w:rPr>
                <w:color w:val="auto"/>
                <w:highlight w:val="none"/>
              </w:rPr>
            </w:pPr>
            <w:r>
              <w:rPr>
                <w:color w:val="auto"/>
                <w:highlight w:val="none"/>
              </w:rPr>
              <w:t>《尾矿库安全监督管理规定》（国家安全生产监督管理总局令第38号）</w:t>
            </w:r>
          </w:p>
        </w:tc>
        <w:tc>
          <w:tcPr>
            <w:tcW w:w="3045" w:type="dxa"/>
            <w:vAlign w:val="center"/>
          </w:tcPr>
          <w:p w14:paraId="5F3777E4">
            <w:pPr>
              <w:pStyle w:val="70"/>
              <w:rPr>
                <w:color w:val="auto"/>
                <w:highlight w:val="none"/>
              </w:rPr>
            </w:pPr>
            <w:r>
              <w:rPr>
                <w:color w:val="auto"/>
                <w:highlight w:val="none"/>
              </w:rPr>
              <w:t>尾矿库闭库程序未在规定时间内完成。</w:t>
            </w:r>
          </w:p>
        </w:tc>
        <w:tc>
          <w:tcPr>
            <w:tcW w:w="743" w:type="dxa"/>
            <w:vAlign w:val="center"/>
          </w:tcPr>
          <w:p w14:paraId="088820CD">
            <w:pPr>
              <w:pStyle w:val="70"/>
              <w:jc w:val="center"/>
              <w:rPr>
                <w:color w:val="auto"/>
                <w:highlight w:val="none"/>
              </w:rPr>
            </w:pPr>
            <w:r>
              <w:rPr>
                <w:color w:val="auto"/>
                <w:highlight w:val="none"/>
              </w:rPr>
              <w:t>不符合</w:t>
            </w:r>
          </w:p>
        </w:tc>
      </w:tr>
      <w:tr w14:paraId="0F6CE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0079743B">
            <w:pPr>
              <w:pStyle w:val="70"/>
              <w:numPr>
                <w:ilvl w:val="0"/>
                <w:numId w:val="7"/>
              </w:numPr>
              <w:rPr>
                <w:color w:val="auto"/>
              </w:rPr>
            </w:pPr>
          </w:p>
        </w:tc>
        <w:tc>
          <w:tcPr>
            <w:tcW w:w="0" w:type="auto"/>
            <w:vAlign w:val="center"/>
          </w:tcPr>
          <w:p w14:paraId="63B92906">
            <w:pPr>
              <w:pStyle w:val="70"/>
              <w:rPr>
                <w:color w:val="auto"/>
              </w:rPr>
            </w:pPr>
            <w:r>
              <w:rPr>
                <w:color w:val="auto"/>
              </w:rPr>
              <w:t>尾矿库闭库工程安全设施验收，应当具备下列条件：尾矿库已停止使用；尾矿库闭库工程安全设施设计已经有关安全生产监督管理部门审查批准；有完备的闭库工程安全设施施工记录、竣工报告、竣工图和施工监理报告等。</w:t>
            </w:r>
          </w:p>
        </w:tc>
        <w:tc>
          <w:tcPr>
            <w:tcW w:w="0" w:type="auto"/>
            <w:vMerge w:val="continue"/>
            <w:vAlign w:val="center"/>
          </w:tcPr>
          <w:p w14:paraId="1DC342F5">
            <w:pPr>
              <w:pStyle w:val="70"/>
              <w:rPr>
                <w:color w:val="auto"/>
              </w:rPr>
            </w:pPr>
          </w:p>
        </w:tc>
        <w:tc>
          <w:tcPr>
            <w:tcW w:w="3045" w:type="dxa"/>
            <w:vAlign w:val="center"/>
          </w:tcPr>
          <w:p w14:paraId="736E2232">
            <w:pPr>
              <w:pStyle w:val="70"/>
              <w:rPr>
                <w:color w:val="auto"/>
              </w:rPr>
            </w:pPr>
            <w:r>
              <w:rPr>
                <w:color w:val="auto"/>
              </w:rPr>
              <w:t>尾矿库已停止使用；安全设施设计已获得审批；有闭库工程施工记录、竣工报告、竣工图和施工监理报告。</w:t>
            </w:r>
          </w:p>
        </w:tc>
        <w:tc>
          <w:tcPr>
            <w:tcW w:w="743" w:type="dxa"/>
            <w:vAlign w:val="center"/>
          </w:tcPr>
          <w:p w14:paraId="16F6A911">
            <w:pPr>
              <w:pStyle w:val="70"/>
              <w:jc w:val="center"/>
              <w:rPr>
                <w:color w:val="auto"/>
              </w:rPr>
            </w:pPr>
            <w:r>
              <w:rPr>
                <w:color w:val="auto"/>
              </w:rPr>
              <w:t>符合</w:t>
            </w:r>
          </w:p>
        </w:tc>
      </w:tr>
      <w:tr w14:paraId="09401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61902967">
            <w:pPr>
              <w:pStyle w:val="70"/>
              <w:numPr>
                <w:ilvl w:val="0"/>
                <w:numId w:val="7"/>
              </w:numPr>
              <w:rPr>
                <w:color w:val="auto"/>
              </w:rPr>
            </w:pPr>
          </w:p>
        </w:tc>
        <w:tc>
          <w:tcPr>
            <w:tcW w:w="0" w:type="auto"/>
            <w:vAlign w:val="center"/>
          </w:tcPr>
          <w:p w14:paraId="294AAC94">
            <w:pPr>
              <w:pStyle w:val="70"/>
              <w:rPr>
                <w:color w:val="auto"/>
              </w:rPr>
            </w:pPr>
            <w:r>
              <w:rPr>
                <w:color w:val="auto"/>
              </w:rPr>
              <w:t>尾矿</w:t>
            </w:r>
            <w:r>
              <w:rPr>
                <w:rFonts w:hint="eastAsia"/>
                <w:color w:val="auto"/>
                <w:lang w:val="en-US" w:eastAsia="zh-CN"/>
              </w:rPr>
              <w:t>库闭库，</w:t>
            </w:r>
            <w:r>
              <w:rPr>
                <w:color w:val="auto"/>
              </w:rPr>
              <w:t>尾矿库管理单位应当委托安全评价机构编制尾矿库闭库工程安全验收评价报告，并组织尾矿库闭库工程安全设施竣工验收，形成安全设施竣工验收报告。</w:t>
            </w:r>
          </w:p>
        </w:tc>
        <w:tc>
          <w:tcPr>
            <w:tcW w:w="0" w:type="auto"/>
            <w:vAlign w:val="center"/>
          </w:tcPr>
          <w:p w14:paraId="0FE4E873">
            <w:pPr>
              <w:pStyle w:val="70"/>
              <w:rPr>
                <w:color w:val="auto"/>
              </w:rPr>
            </w:pPr>
            <w:r>
              <w:rPr>
                <w:color w:val="auto"/>
              </w:rPr>
              <w:t>《云南省尾矿库闭库销号管理办法（试行）》</w:t>
            </w:r>
            <w:r>
              <w:rPr>
                <w:rFonts w:hint="eastAsia"/>
                <w:color w:val="auto"/>
              </w:rPr>
              <w:t>（</w:t>
            </w:r>
            <w:r>
              <w:rPr>
                <w:color w:val="auto"/>
              </w:rPr>
              <w:t>云应急</w:t>
            </w:r>
            <w:r>
              <w:rPr>
                <w:rFonts w:hint="eastAsia"/>
                <w:color w:val="auto"/>
                <w:lang w:eastAsia="zh-CN"/>
              </w:rPr>
              <w:t>〔2021〕</w:t>
            </w:r>
            <w:r>
              <w:rPr>
                <w:color w:val="auto"/>
              </w:rPr>
              <w:t>20号</w:t>
            </w:r>
            <w:r>
              <w:rPr>
                <w:rFonts w:hint="eastAsia"/>
                <w:color w:val="auto"/>
              </w:rPr>
              <w:t>）</w:t>
            </w:r>
          </w:p>
        </w:tc>
        <w:tc>
          <w:tcPr>
            <w:tcW w:w="3045" w:type="dxa"/>
            <w:vAlign w:val="center"/>
          </w:tcPr>
          <w:p w14:paraId="0C9E7E0A">
            <w:pPr>
              <w:pStyle w:val="70"/>
              <w:rPr>
                <w:color w:val="auto"/>
              </w:rPr>
            </w:pPr>
            <w:r>
              <w:rPr>
                <w:color w:val="auto"/>
              </w:rPr>
              <w:t>已委托安评机构</w:t>
            </w:r>
            <w:r>
              <w:rPr>
                <w:rFonts w:hint="eastAsia"/>
                <w:color w:val="auto"/>
                <w:lang w:eastAsia="zh-CN"/>
              </w:rPr>
              <w:t>编制</w:t>
            </w:r>
            <w:r>
              <w:rPr>
                <w:color w:val="auto"/>
              </w:rPr>
              <w:t>安全验收评价报告。</w:t>
            </w:r>
          </w:p>
        </w:tc>
        <w:tc>
          <w:tcPr>
            <w:tcW w:w="743" w:type="dxa"/>
            <w:vAlign w:val="center"/>
          </w:tcPr>
          <w:p w14:paraId="4593CED1">
            <w:pPr>
              <w:pStyle w:val="70"/>
              <w:jc w:val="center"/>
              <w:rPr>
                <w:color w:val="auto"/>
              </w:rPr>
            </w:pPr>
            <w:r>
              <w:rPr>
                <w:color w:val="auto"/>
              </w:rPr>
              <w:t>符合</w:t>
            </w:r>
          </w:p>
        </w:tc>
      </w:tr>
    </w:tbl>
    <w:p w14:paraId="1D470B6D">
      <w:pPr>
        <w:pStyle w:val="5"/>
        <w:bidi w:val="0"/>
        <w:rPr>
          <w:rFonts w:hint="eastAsia"/>
          <w:color w:val="auto"/>
          <w:lang w:eastAsia="zh-CN"/>
        </w:rPr>
      </w:pPr>
      <w:bookmarkStart w:id="465" w:name="_Toc28192"/>
      <w:bookmarkStart w:id="466" w:name="_Toc100570444"/>
      <w:bookmarkStart w:id="467" w:name="_Toc105057975"/>
      <w:r>
        <w:rPr>
          <w:rFonts w:hint="eastAsia"/>
          <w:color w:val="auto"/>
          <w:lang w:eastAsia="zh-CN"/>
        </w:rPr>
        <w:t>尾矿坝安全稳定性计算</w:t>
      </w:r>
      <w:bookmarkEnd w:id="465"/>
    </w:p>
    <w:p w14:paraId="0F7D93CA">
      <w:pPr>
        <w:bidi w:val="0"/>
        <w:rPr>
          <w:rFonts w:hint="eastAsia"/>
          <w:color w:val="auto"/>
          <w:lang w:eastAsia="zh-CN"/>
        </w:rPr>
      </w:pPr>
      <w:r>
        <w:rPr>
          <w:rFonts w:hint="eastAsia"/>
          <w:color w:val="auto"/>
          <w:lang w:eastAsia="zh-CN"/>
        </w:rPr>
        <w:t>整治闭库后，总坝高为39m（坝前标高1907.5m，库尾标高1911.5m），堆积尾矿约83</w:t>
      </w:r>
      <w:r>
        <w:rPr>
          <w:rFonts w:hint="eastAsia"/>
          <w:color w:val="auto"/>
          <w:vertAlign w:val="baseline"/>
          <w:lang w:eastAsia="zh-CN"/>
        </w:rPr>
        <w:t>m</w:t>
      </w:r>
      <w:r>
        <w:rPr>
          <w:rFonts w:hint="eastAsia"/>
          <w:color w:val="auto"/>
          <w:vertAlign w:val="superscript"/>
          <w:lang w:eastAsia="zh-CN"/>
        </w:rPr>
        <w:t>3</w:t>
      </w:r>
      <w:r>
        <w:rPr>
          <w:rFonts w:hint="eastAsia"/>
          <w:color w:val="auto"/>
          <w:lang w:eastAsia="zh-CN"/>
        </w:rPr>
        <w:t>，为四等库。</w:t>
      </w:r>
    </w:p>
    <w:p w14:paraId="45982623">
      <w:pPr>
        <w:bidi w:val="0"/>
        <w:rPr>
          <w:rFonts w:hint="eastAsia"/>
          <w:color w:val="auto"/>
          <w:lang w:eastAsia="zh-CN"/>
        </w:rPr>
      </w:pPr>
      <w:r>
        <w:rPr>
          <w:rFonts w:hint="eastAsia"/>
          <w:color w:val="auto"/>
          <w:lang w:eastAsia="zh-CN"/>
        </w:rPr>
        <w:t>1、计算参数选定</w:t>
      </w:r>
    </w:p>
    <w:p w14:paraId="7D0A82A3">
      <w:pPr>
        <w:rPr>
          <w:rFonts w:hint="eastAsia"/>
          <w:color w:val="auto"/>
          <w:lang w:eastAsia="zh-CN"/>
        </w:rPr>
      </w:pPr>
      <w:r>
        <w:rPr>
          <w:rFonts w:hint="eastAsia"/>
          <w:color w:val="auto"/>
          <w:lang w:eastAsia="zh-CN"/>
        </w:rPr>
        <w:t>根据</w:t>
      </w:r>
      <w:r>
        <w:rPr>
          <w:rFonts w:hint="eastAsia"/>
          <w:color w:val="auto"/>
          <w:lang w:val="en-US" w:eastAsia="zh-CN"/>
        </w:rPr>
        <w:t>闭库</w:t>
      </w:r>
      <w:r>
        <w:rPr>
          <w:rFonts w:hint="eastAsia"/>
          <w:color w:val="auto"/>
          <w:lang w:eastAsia="zh-CN"/>
        </w:rPr>
        <w:t>后坝体结构，坝体稳定分析按不同部位分别取用对应的物理力学指标计算。其物理力学指标根据工勘报告和对照《尾矿设施设计规范》（GB50863-2013）附表C及工程类比分析确定各层物理力学指标如表4-1。</w:t>
      </w:r>
    </w:p>
    <w:p w14:paraId="1CC04FAA">
      <w:pPr>
        <w:rPr>
          <w:rFonts w:hint="eastAsia"/>
          <w:color w:val="auto"/>
          <w:lang w:eastAsia="zh-CN"/>
        </w:rPr>
      </w:pPr>
      <w:r>
        <w:rPr>
          <w:rFonts w:hint="eastAsia"/>
          <w:color w:val="auto"/>
          <w:lang w:eastAsia="zh-CN"/>
        </w:rPr>
        <w:t>2、尾矿坝浸润线计算</w:t>
      </w:r>
    </w:p>
    <w:p w14:paraId="66D2E7F5">
      <w:pPr>
        <w:rPr>
          <w:rFonts w:hint="eastAsia"/>
          <w:color w:val="auto"/>
          <w:lang w:eastAsia="zh-CN"/>
        </w:rPr>
      </w:pPr>
      <w:r>
        <w:rPr>
          <w:rFonts w:hint="eastAsia"/>
          <w:color w:val="auto"/>
          <w:lang w:eastAsia="zh-CN"/>
        </w:rPr>
        <w:t>尾矿库面通过平整后，库面形成顺坡坡度，库面雨水能及时通过库面排水沟排往左岸截洪沟后排出库外，库面雨水下渗极少，库内形成的浸润线最高比现状浸润线低，且随着闭库后时间的延长，浸润线会逐渐下降，尾矿坝处于越来越稳定的状态。因此闭库后库内浸润线取值标准是靠近坝前区域为现状实际浸润线位置，靠近库尾区域由于库内不积水，库尾浸润线低于现状浸润线。</w:t>
      </w:r>
    </w:p>
    <w:p w14:paraId="1248F812">
      <w:pPr>
        <w:rPr>
          <w:rFonts w:hint="eastAsia"/>
          <w:color w:val="auto"/>
          <w:lang w:eastAsia="zh-CN"/>
        </w:rPr>
      </w:pPr>
      <w:r>
        <w:rPr>
          <w:rFonts w:hint="eastAsia"/>
          <w:color w:val="auto"/>
          <w:lang w:eastAsia="zh-CN"/>
        </w:rPr>
        <w:t>3、</w:t>
      </w:r>
      <w:r>
        <w:rPr>
          <w:rFonts w:hint="eastAsia"/>
          <w:color w:val="auto"/>
          <w:lang w:val="en-US" w:eastAsia="zh-CN"/>
        </w:rPr>
        <w:t>坝体</w:t>
      </w:r>
      <w:r>
        <w:rPr>
          <w:rFonts w:hint="eastAsia"/>
          <w:color w:val="auto"/>
          <w:lang w:eastAsia="zh-CN"/>
        </w:rPr>
        <w:t>稳定计算</w:t>
      </w:r>
    </w:p>
    <w:p w14:paraId="4AE9F87D">
      <w:pPr>
        <w:ind w:left="0" w:leftChars="0" w:firstLine="560" w:firstLineChars="200"/>
        <w:rPr>
          <w:rFonts w:hint="eastAsia"/>
          <w:color w:val="auto"/>
          <w:lang w:eastAsia="zh-CN"/>
        </w:rPr>
      </w:pPr>
      <w:r>
        <w:rPr>
          <w:rFonts w:hint="eastAsia"/>
          <w:color w:val="auto"/>
          <w:lang w:eastAsia="zh-CN"/>
        </w:rPr>
        <w:t>（1）断面的选择</w:t>
      </w:r>
    </w:p>
    <w:p w14:paraId="64EA5911">
      <w:pPr>
        <w:rPr>
          <w:rFonts w:hint="eastAsia"/>
          <w:color w:val="auto"/>
          <w:lang w:val="en-US" w:eastAsia="zh-CN"/>
        </w:rPr>
      </w:pPr>
      <w:r>
        <w:rPr>
          <w:rFonts w:hint="eastAsia"/>
          <w:color w:val="auto"/>
          <w:lang w:eastAsia="zh-CN"/>
        </w:rPr>
        <w:t>选择顺流方向最大断面为坝坡稳定最不利断面，只要此断面满足稳定分析的安全要求，则整个坝体均满足安全要求。断面选取整个尾矿坝断面。</w:t>
      </w:r>
      <w:r>
        <w:rPr>
          <w:rFonts w:hint="eastAsia"/>
          <w:color w:val="auto"/>
          <w:lang w:val="en-US" w:eastAsia="zh-CN"/>
        </w:rPr>
        <w:t xml:space="preserve">                        </w:t>
      </w:r>
    </w:p>
    <w:p w14:paraId="4051998A">
      <w:pPr>
        <w:rPr>
          <w:rFonts w:hint="eastAsia"/>
          <w:color w:val="auto"/>
          <w:lang w:eastAsia="zh-CN"/>
        </w:rPr>
      </w:pPr>
      <w:r>
        <w:rPr>
          <w:rFonts w:hint="eastAsia"/>
          <w:color w:val="auto"/>
          <w:lang w:val="en-US" w:eastAsia="zh-CN"/>
        </w:rPr>
        <w:t>（2）</w:t>
      </w:r>
      <w:r>
        <w:rPr>
          <w:rFonts w:hint="eastAsia"/>
          <w:color w:val="auto"/>
          <w:lang w:eastAsia="zh-CN"/>
        </w:rPr>
        <w:t>安全系数允许值</w:t>
      </w:r>
    </w:p>
    <w:p w14:paraId="553E8267">
      <w:pPr>
        <w:rPr>
          <w:rFonts w:hint="eastAsia"/>
          <w:color w:val="auto"/>
          <w:lang w:eastAsia="zh-CN"/>
        </w:rPr>
      </w:pPr>
      <w:r>
        <w:rPr>
          <w:rFonts w:hint="eastAsia"/>
          <w:color w:val="auto"/>
          <w:lang w:eastAsia="zh-CN"/>
        </w:rPr>
        <w:t>根据《尾矿库安全规程》（GB39496-2020）之规定，尾矿坝的级别为4级，坝体稳定计算按正常运行和特殊运行两种工况进行校核。其安全系数控制值如下表4-5所列：</w:t>
      </w:r>
    </w:p>
    <w:p w14:paraId="0E839504">
      <w:pPr>
        <w:ind w:left="0" w:leftChars="0" w:firstLine="0" w:firstLineChars="0"/>
        <w:jc w:val="center"/>
        <w:rPr>
          <w:rFonts w:hint="eastAsia"/>
          <w:color w:val="auto"/>
          <w:sz w:val="24"/>
          <w:szCs w:val="24"/>
          <w:lang w:eastAsia="zh-CN"/>
        </w:rPr>
      </w:pPr>
      <w:r>
        <w:rPr>
          <w:rFonts w:hint="eastAsia"/>
          <w:color w:val="auto"/>
          <w:sz w:val="24"/>
          <w:szCs w:val="24"/>
          <w:lang w:eastAsia="zh-CN"/>
        </w:rPr>
        <w:t>表4-5安全系数允许值</w:t>
      </w:r>
    </w:p>
    <w:tbl>
      <w:tblPr>
        <w:tblStyle w:val="308"/>
        <w:tblW w:w="88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99"/>
        <w:gridCol w:w="4561"/>
      </w:tblGrid>
      <w:tr w14:paraId="068976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4299" w:type="dxa"/>
            <w:vAlign w:val="top"/>
          </w:tcPr>
          <w:p w14:paraId="711DC34C">
            <w:pPr>
              <w:spacing w:before="97" w:line="228" w:lineRule="auto"/>
              <w:ind w:left="1810"/>
              <w:rPr>
                <w:rFonts w:ascii="宋体" w:hAnsi="宋体" w:eastAsia="宋体" w:cs="宋体"/>
                <w:sz w:val="20"/>
                <w:szCs w:val="20"/>
              </w:rPr>
            </w:pPr>
            <w:r>
              <w:rPr>
                <w:rFonts w:ascii="宋体" w:hAnsi="宋体" w:eastAsia="宋体" w:cs="宋体"/>
                <w:spacing w:val="7"/>
                <w:sz w:val="20"/>
                <w:szCs w:val="20"/>
              </w:rPr>
              <w:t>计算工况</w:t>
            </w:r>
          </w:p>
        </w:tc>
        <w:tc>
          <w:tcPr>
            <w:tcW w:w="4561" w:type="dxa"/>
            <w:vAlign w:val="top"/>
          </w:tcPr>
          <w:p w14:paraId="7461C489">
            <w:pPr>
              <w:spacing w:before="97" w:line="228" w:lineRule="auto"/>
              <w:ind w:left="1969"/>
              <w:rPr>
                <w:rFonts w:ascii="宋体" w:hAnsi="宋体" w:eastAsia="宋体" w:cs="宋体"/>
                <w:sz w:val="20"/>
                <w:szCs w:val="20"/>
              </w:rPr>
            </w:pPr>
            <w:r>
              <w:rPr>
                <w:rFonts w:ascii="宋体" w:hAnsi="宋体" w:eastAsia="宋体" w:cs="宋体"/>
                <w:spacing w:val="7"/>
                <w:sz w:val="20"/>
                <w:szCs w:val="20"/>
              </w:rPr>
              <w:t>规范规定值</w:t>
            </w:r>
          </w:p>
        </w:tc>
      </w:tr>
      <w:tr w14:paraId="54989A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4299" w:type="dxa"/>
            <w:vAlign w:val="top"/>
          </w:tcPr>
          <w:p w14:paraId="6203BEB4">
            <w:pPr>
              <w:spacing w:before="95" w:line="229" w:lineRule="auto"/>
              <w:ind w:left="1839"/>
              <w:rPr>
                <w:rFonts w:ascii="宋体" w:hAnsi="宋体" w:eastAsia="宋体" w:cs="宋体"/>
                <w:sz w:val="20"/>
                <w:szCs w:val="20"/>
              </w:rPr>
            </w:pPr>
            <w:r>
              <w:rPr>
                <w:rFonts w:ascii="宋体" w:hAnsi="宋体" w:eastAsia="宋体" w:cs="宋体"/>
                <w:spacing w:val="6"/>
                <w:sz w:val="20"/>
                <w:szCs w:val="20"/>
              </w:rPr>
              <w:t>正常运行</w:t>
            </w:r>
          </w:p>
        </w:tc>
        <w:tc>
          <w:tcPr>
            <w:tcW w:w="4561" w:type="dxa"/>
            <w:vAlign w:val="top"/>
          </w:tcPr>
          <w:p w14:paraId="39E08C25">
            <w:pPr>
              <w:pStyle w:val="81"/>
              <w:spacing w:before="131" w:line="195" w:lineRule="auto"/>
              <w:ind w:left="2328"/>
            </w:pPr>
            <w:r>
              <w:rPr>
                <w:spacing w:val="-3"/>
              </w:rPr>
              <w:t>1.15</w:t>
            </w:r>
          </w:p>
        </w:tc>
      </w:tr>
      <w:tr w14:paraId="0F3907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4299" w:type="dxa"/>
            <w:vAlign w:val="top"/>
          </w:tcPr>
          <w:p w14:paraId="5E20BEFE">
            <w:pPr>
              <w:pStyle w:val="81"/>
              <w:spacing w:before="98" w:line="228" w:lineRule="auto"/>
              <w:ind w:left="1232"/>
              <w:rPr>
                <w:rFonts w:ascii="宋体" w:hAnsi="宋体" w:eastAsia="宋体" w:cs="宋体"/>
              </w:rPr>
            </w:pPr>
            <w:r>
              <w:rPr>
                <w:rFonts w:ascii="宋体" w:hAnsi="宋体" w:eastAsia="宋体" w:cs="宋体"/>
                <w:spacing w:val="7"/>
              </w:rPr>
              <w:t>特殊运行（</w:t>
            </w:r>
            <w:r>
              <w:rPr>
                <w:spacing w:val="7"/>
              </w:rPr>
              <w:t>7</w:t>
            </w:r>
            <w:r>
              <w:rPr>
                <w:rFonts w:ascii="宋体" w:hAnsi="宋体" w:eastAsia="宋体" w:cs="宋体"/>
                <w:spacing w:val="7"/>
              </w:rPr>
              <w:t>度地震）</w:t>
            </w:r>
          </w:p>
        </w:tc>
        <w:tc>
          <w:tcPr>
            <w:tcW w:w="4561" w:type="dxa"/>
            <w:vAlign w:val="top"/>
          </w:tcPr>
          <w:p w14:paraId="5A537CE3">
            <w:pPr>
              <w:pStyle w:val="81"/>
              <w:spacing w:before="134" w:line="195" w:lineRule="auto"/>
              <w:ind w:left="2328"/>
            </w:pPr>
            <w:r>
              <w:rPr>
                <w:spacing w:val="-3"/>
              </w:rPr>
              <w:t>1.05</w:t>
            </w:r>
          </w:p>
        </w:tc>
      </w:tr>
    </w:tbl>
    <w:p w14:paraId="15D55906">
      <w:pPr>
        <w:rPr>
          <w:rFonts w:hint="eastAsia"/>
          <w:color w:val="auto"/>
          <w:lang w:eastAsia="zh-CN"/>
        </w:rPr>
      </w:pPr>
      <w:r>
        <w:rPr>
          <w:rFonts w:hint="eastAsia"/>
          <w:color w:val="auto"/>
          <w:lang w:eastAsia="zh-CN"/>
        </w:rPr>
        <w:t>（3）荷载组合</w:t>
      </w:r>
    </w:p>
    <w:p w14:paraId="5916EFCD">
      <w:pPr>
        <w:rPr>
          <w:rFonts w:hint="eastAsia"/>
          <w:color w:val="auto"/>
          <w:lang w:eastAsia="zh-CN"/>
        </w:rPr>
      </w:pPr>
      <w:r>
        <w:rPr>
          <w:rFonts w:hint="eastAsia"/>
          <w:color w:val="auto"/>
          <w:lang w:eastAsia="zh-CN"/>
        </w:rPr>
        <w:t>根据《尾矿设施设计规范》4.4.1-1规定的尾矿坝稳定计算的荷载组合进行稳定计算。</w:t>
      </w:r>
    </w:p>
    <w:p w14:paraId="228A4DC3">
      <w:pPr>
        <w:rPr>
          <w:rFonts w:hint="eastAsia"/>
          <w:color w:val="auto"/>
          <w:lang w:eastAsia="zh-CN"/>
        </w:rPr>
      </w:pPr>
      <w:r>
        <w:rPr>
          <w:rFonts w:hint="eastAsia"/>
          <w:color w:val="auto"/>
          <w:lang w:eastAsia="zh-CN"/>
        </w:rPr>
        <w:t>该尾矿库位于7度地震烈度区，工程中所有建、构筑物均按7级抗震设防烈度进行设防，尾矿库闭库后不存水，故坝体稳定计算考虑正常运行和特殊运行期间两种工况。</w:t>
      </w:r>
    </w:p>
    <w:p w14:paraId="0E4617A8">
      <w:pPr>
        <w:rPr>
          <w:rFonts w:hint="eastAsia"/>
          <w:color w:val="auto"/>
          <w:lang w:eastAsia="zh-CN"/>
        </w:rPr>
      </w:pPr>
      <w:r>
        <w:rPr>
          <w:rFonts w:hint="eastAsia"/>
          <w:color w:val="auto"/>
          <w:lang w:eastAsia="zh-CN"/>
        </w:rPr>
        <w:t>根据《尾矿库安全规程》（GB39496-2020），稳定计算采用有效应力法中的瑞典圆弧法进行，计算程序采用北京理正软件设计研究院编制的理正岩土计算5.2版理正边坡稳定分析计算程序。</w:t>
      </w:r>
    </w:p>
    <w:p w14:paraId="3AC600C3">
      <w:pPr>
        <w:rPr>
          <w:rFonts w:hint="eastAsia"/>
          <w:color w:val="auto"/>
          <w:lang w:eastAsia="zh-CN"/>
        </w:rPr>
      </w:pPr>
      <w:r>
        <w:rPr>
          <w:rFonts w:hint="eastAsia"/>
          <w:color w:val="auto"/>
          <w:lang w:eastAsia="zh-CN"/>
        </w:rPr>
        <w:t>（4）计算方法</w:t>
      </w:r>
    </w:p>
    <w:p w14:paraId="46CB854B">
      <w:pPr>
        <w:rPr>
          <w:rFonts w:hint="eastAsia"/>
          <w:color w:val="auto"/>
          <w:lang w:eastAsia="zh-CN"/>
        </w:rPr>
      </w:pPr>
      <w:r>
        <w:rPr>
          <w:rFonts w:hint="eastAsia"/>
          <w:color w:val="auto"/>
          <w:lang w:eastAsia="zh-CN"/>
        </w:rPr>
        <w:t>计算方法采用瑞典圆弧法。瑞典圆弧法简介：</w:t>
      </w:r>
    </w:p>
    <w:p w14:paraId="36F8BB02">
      <w:pPr>
        <w:bidi w:val="0"/>
        <w:ind w:left="0" w:leftChars="0" w:firstLine="0" w:firstLineChars="0"/>
        <w:rPr>
          <w:rFonts w:hint="eastAsia"/>
          <w:color w:val="auto"/>
          <w:lang w:eastAsia="zh-CN"/>
        </w:rPr>
      </w:pPr>
      <w:r>
        <w:rPr>
          <w:position w:val="-34"/>
        </w:rPr>
        <w:drawing>
          <wp:inline distT="0" distB="0" distL="0" distR="0">
            <wp:extent cx="5447665" cy="1085215"/>
            <wp:effectExtent l="0" t="0" r="635" b="6985"/>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65"/>
                    <a:stretch>
                      <a:fillRect/>
                    </a:stretch>
                  </pic:blipFill>
                  <pic:spPr>
                    <a:xfrm>
                      <a:off x="0" y="0"/>
                      <a:ext cx="5448275" cy="1085808"/>
                    </a:xfrm>
                    <a:prstGeom prst="rect">
                      <a:avLst/>
                    </a:prstGeom>
                  </pic:spPr>
                </pic:pic>
              </a:graphicData>
            </a:graphic>
          </wp:inline>
        </w:drawing>
      </w:r>
    </w:p>
    <w:p w14:paraId="48B1C61E">
      <w:pPr>
        <w:pStyle w:val="25"/>
        <w:spacing w:before="256" w:line="219" w:lineRule="auto"/>
        <w:ind w:left="2808"/>
        <w:rPr>
          <w:sz w:val="25"/>
          <w:szCs w:val="25"/>
        </w:rPr>
      </w:pPr>
      <w:r>
        <w:rPr>
          <w:b/>
          <w:bCs/>
          <w:spacing w:val="-7"/>
          <w:sz w:val="25"/>
          <w:szCs w:val="25"/>
        </w:rPr>
        <w:t>图4-1瑞典圆弧法求安全系数</w:t>
      </w:r>
    </w:p>
    <w:p w14:paraId="16A30CA2">
      <w:pPr>
        <w:pStyle w:val="25"/>
        <w:spacing w:before="38" w:line="219" w:lineRule="auto"/>
        <w:ind w:left="595"/>
        <w:rPr>
          <w:sz w:val="29"/>
          <w:szCs w:val="29"/>
        </w:rPr>
      </w:pPr>
      <w:r>
        <w:rPr>
          <w:spacing w:val="12"/>
          <w:sz w:val="29"/>
          <w:szCs w:val="29"/>
        </w:rPr>
        <w:t>瑞典条分法(有效应力法):</w:t>
      </w:r>
    </w:p>
    <w:p w14:paraId="63347CF6">
      <w:pPr>
        <w:bidi w:val="0"/>
        <w:rPr>
          <w:position w:val="-16"/>
        </w:rPr>
      </w:pPr>
      <w:r>
        <w:rPr>
          <w:position w:val="-16"/>
        </w:rPr>
        <w:drawing>
          <wp:inline distT="0" distB="0" distL="0" distR="0">
            <wp:extent cx="3422015" cy="514350"/>
            <wp:effectExtent l="0" t="0" r="6985" b="635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66"/>
                    <a:stretch>
                      <a:fillRect/>
                    </a:stretch>
                  </pic:blipFill>
                  <pic:spPr>
                    <a:xfrm>
                      <a:off x="0" y="0"/>
                      <a:ext cx="3422643" cy="514352"/>
                    </a:xfrm>
                    <a:prstGeom prst="rect">
                      <a:avLst/>
                    </a:prstGeom>
                  </pic:spPr>
                </pic:pic>
              </a:graphicData>
            </a:graphic>
          </wp:inline>
        </w:drawing>
      </w:r>
    </w:p>
    <w:p w14:paraId="5999A40A">
      <w:pPr>
        <w:bidi w:val="0"/>
        <w:rPr>
          <w:rFonts w:hint="eastAsia"/>
          <w:position w:val="-16"/>
          <w:lang w:eastAsia="zh-CN"/>
        </w:rPr>
      </w:pPr>
      <w:r>
        <w:rPr>
          <w:rFonts w:hint="eastAsia"/>
          <w:position w:val="-16"/>
          <w:lang w:eastAsia="zh-CN"/>
        </w:rPr>
        <w:t>式中：</w:t>
      </w:r>
    </w:p>
    <w:p w14:paraId="68FF8FB1">
      <w:pPr>
        <w:bidi w:val="0"/>
        <w:rPr>
          <w:rFonts w:hint="eastAsia"/>
          <w:position w:val="-16"/>
          <w:lang w:eastAsia="zh-CN"/>
        </w:rPr>
      </w:pPr>
      <w:r>
        <w:rPr>
          <w:rFonts w:hint="eastAsia"/>
          <w:position w:val="-16"/>
          <w:lang w:eastAsia="zh-CN"/>
        </w:rPr>
        <w:t>K整个滑体剩余下滑力计算的安全系数；</w:t>
      </w:r>
    </w:p>
    <w:p w14:paraId="3BC94C17">
      <w:pPr>
        <w:bidi w:val="0"/>
        <w:rPr>
          <w:rFonts w:hint="eastAsia"/>
          <w:position w:val="-16"/>
          <w:lang w:eastAsia="zh-CN"/>
        </w:rPr>
      </w:pPr>
      <w:r>
        <w:rPr>
          <w:rFonts w:hint="eastAsia"/>
          <w:position w:val="-16"/>
          <w:lang w:eastAsia="zh-CN"/>
        </w:rPr>
        <w:t>L——单个土条的滑动面长度(m),L=bsecθ;</w:t>
      </w:r>
    </w:p>
    <w:p w14:paraId="7C9B0047">
      <w:pPr>
        <w:bidi w:val="0"/>
        <w:rPr>
          <w:rFonts w:hint="eastAsia"/>
          <w:position w:val="-16"/>
          <w:lang w:eastAsia="zh-CN"/>
        </w:rPr>
      </w:pPr>
      <w:r>
        <w:rPr>
          <w:rFonts w:hint="eastAsia"/>
          <w:position w:val="-16"/>
          <w:lang w:eastAsia="zh-CN"/>
        </w:rPr>
        <w:t>W条块重力(kN),浸润线以上取重度，以下取饱和重度；</w:t>
      </w:r>
    </w:p>
    <w:p w14:paraId="1B1BC26F">
      <w:pPr>
        <w:bidi w:val="0"/>
        <w:rPr>
          <w:rFonts w:hint="eastAsia"/>
          <w:position w:val="-16"/>
          <w:lang w:eastAsia="zh-CN"/>
        </w:rPr>
      </w:pPr>
      <w:r>
        <w:rPr>
          <w:rFonts w:hint="eastAsia"/>
          <w:position w:val="-16"/>
          <w:lang w:eastAsia="zh-CN"/>
        </w:rPr>
        <w:t>U——条块所受到的浮力(kN);</w:t>
      </w:r>
    </w:p>
    <w:p w14:paraId="56CD4B37">
      <w:pPr>
        <w:bidi w:val="0"/>
        <w:rPr>
          <w:rFonts w:hint="eastAsia"/>
          <w:position w:val="-16"/>
          <w:lang w:eastAsia="zh-CN"/>
        </w:rPr>
      </w:pPr>
      <w:r>
        <w:rPr>
          <w:rFonts w:hint="eastAsia"/>
          <w:position w:val="-16"/>
          <w:lang w:eastAsia="zh-CN"/>
        </w:rPr>
        <w:t>D条块所受的渗透力(kN),据孔隙水压力梯度场积分得出；</w:t>
      </w:r>
    </w:p>
    <w:p w14:paraId="4E02C58C">
      <w:pPr>
        <w:bidi w:val="0"/>
        <w:rPr>
          <w:rFonts w:hint="eastAsia"/>
          <w:position w:val="-16"/>
          <w:lang w:eastAsia="zh-CN"/>
        </w:rPr>
      </w:pPr>
      <w:r>
        <w:rPr>
          <w:rFonts w:hint="eastAsia"/>
          <w:position w:val="-16"/>
          <w:lang w:eastAsia="zh-CN"/>
        </w:rPr>
        <w:t>θ</w:t>
      </w:r>
      <w:r>
        <w:rPr>
          <w:rFonts w:hint="eastAsia"/>
          <w:position w:val="-16"/>
          <w:lang w:eastAsia="zh-CN"/>
        </w:rPr>
        <w:drawing>
          <wp:inline distT="0" distB="0" distL="0" distR="0">
            <wp:extent cx="334010" cy="635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67"/>
                    <a:stretch>
                      <a:fillRect/>
                    </a:stretch>
                  </pic:blipFill>
                  <pic:spPr>
                    <a:xfrm>
                      <a:off x="0" y="0"/>
                      <a:ext cx="334237" cy="6415"/>
                    </a:xfrm>
                    <a:prstGeom prst="rect">
                      <a:avLst/>
                    </a:prstGeom>
                  </pic:spPr>
                </pic:pic>
              </a:graphicData>
            </a:graphic>
          </wp:inline>
        </w:drawing>
      </w:r>
      <w:r>
        <w:rPr>
          <w:rFonts w:hint="eastAsia"/>
          <w:position w:val="-16"/>
          <w:lang w:eastAsia="zh-CN"/>
        </w:rPr>
        <w:t>条块的重力线与通过此条块底面中点半径之间的夹角(度);</w:t>
      </w:r>
    </w:p>
    <w:p w14:paraId="37C1322D">
      <w:pPr>
        <w:bidi w:val="0"/>
        <w:rPr>
          <w:rFonts w:hint="eastAsia"/>
          <w:position w:val="-16"/>
          <w:lang w:eastAsia="zh-CN"/>
        </w:rPr>
      </w:pPr>
      <w:r>
        <w:rPr>
          <w:rFonts w:hint="eastAsia"/>
          <w:position w:val="-16"/>
          <w:lang w:eastAsia="zh-CN"/>
        </w:rPr>
        <w:t>a条块的渗透力与水平线的夹角(度);</w:t>
      </w:r>
    </w:p>
    <w:p w14:paraId="7D274B5D">
      <w:pPr>
        <w:bidi w:val="0"/>
        <w:rPr>
          <w:rFonts w:hint="eastAsia"/>
          <w:position w:val="-16"/>
          <w:lang w:eastAsia="zh-CN"/>
        </w:rPr>
      </w:pPr>
      <w:r>
        <w:rPr>
          <w:rFonts w:hint="eastAsia"/>
          <w:position w:val="-16"/>
          <w:lang w:eastAsia="zh-CN"/>
        </w:rPr>
        <w:t>C、φ——土的抗剪强度指标，采用总应力法时，取总应力指标，采用有效应力法时，取有效应力指标。</w:t>
      </w:r>
    </w:p>
    <w:p w14:paraId="269510EB">
      <w:pPr>
        <w:bidi w:val="0"/>
        <w:rPr>
          <w:rFonts w:hint="eastAsia"/>
          <w:position w:val="-16"/>
          <w:lang w:eastAsia="zh-CN"/>
        </w:rPr>
      </w:pPr>
      <w:r>
        <w:rPr>
          <w:rFonts w:hint="eastAsia"/>
          <w:position w:val="-16"/>
          <w:lang w:eastAsia="zh-CN"/>
        </w:rPr>
        <w:t>(5)尾矿坝稳定计算成果(计算过程详见报告后计算书)</w:t>
      </w:r>
    </w:p>
    <w:p w14:paraId="26F200D1">
      <w:pPr>
        <w:bidi w:val="0"/>
        <w:rPr>
          <w:rFonts w:hint="eastAsia"/>
          <w:position w:val="-16"/>
          <w:lang w:eastAsia="zh-CN"/>
        </w:rPr>
      </w:pPr>
      <w:r>
        <w:rPr>
          <w:rFonts w:hint="eastAsia"/>
          <w:position w:val="-16"/>
          <w:lang w:eastAsia="zh-CN"/>
        </w:rPr>
        <w:t>根据《尾矿库安全规程》(GB39496-2020)和工程实际情况，确定尾矿坝计算工况为正常运行和特殊运行两种工况。计算结果见下表4-6。</w:t>
      </w:r>
    </w:p>
    <w:p w14:paraId="11275DC1">
      <w:pPr>
        <w:bidi w:val="0"/>
        <w:ind w:left="0" w:leftChars="0" w:firstLine="0" w:firstLineChars="0"/>
        <w:jc w:val="center"/>
        <w:rPr>
          <w:rFonts w:hint="eastAsia"/>
          <w:b/>
          <w:bCs/>
          <w:position w:val="-16"/>
          <w:lang w:eastAsia="zh-CN"/>
        </w:rPr>
      </w:pPr>
      <w:r>
        <w:rPr>
          <w:rFonts w:hint="eastAsia"/>
          <w:b/>
          <w:bCs/>
          <w:position w:val="-16"/>
          <w:sz w:val="24"/>
          <w:szCs w:val="24"/>
          <w:lang w:eastAsia="zh-CN"/>
        </w:rPr>
        <w:t>表4-6闭库后尾矿坝边坡稳定计算成果表</w:t>
      </w:r>
    </w:p>
    <w:tbl>
      <w:tblPr>
        <w:tblStyle w:val="308"/>
        <w:tblW w:w="88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51"/>
        <w:gridCol w:w="1818"/>
        <w:gridCol w:w="2027"/>
        <w:gridCol w:w="1963"/>
      </w:tblGrid>
      <w:tr w14:paraId="4AB02C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jc w:val="center"/>
        </w:trPr>
        <w:tc>
          <w:tcPr>
            <w:tcW w:w="3051" w:type="dxa"/>
            <w:vAlign w:val="center"/>
          </w:tcPr>
          <w:p w14:paraId="33141B13">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position w:val="-16"/>
                <w:sz w:val="24"/>
                <w:szCs w:val="24"/>
                <w:lang w:eastAsia="zh-CN"/>
              </w:rPr>
            </w:pPr>
            <w:r>
              <w:rPr>
                <w:rFonts w:hint="eastAsia" w:asciiTheme="minorEastAsia" w:hAnsiTheme="minorEastAsia" w:eastAsiaTheme="minorEastAsia" w:cstheme="minorEastAsia"/>
                <w:position w:val="-16"/>
                <w:sz w:val="24"/>
                <w:szCs w:val="24"/>
                <w:lang w:eastAsia="zh-CN"/>
              </w:rPr>
              <w:t>计算工况</w:t>
            </w:r>
          </w:p>
        </w:tc>
        <w:tc>
          <w:tcPr>
            <w:tcW w:w="1818" w:type="dxa"/>
            <w:vAlign w:val="center"/>
          </w:tcPr>
          <w:p w14:paraId="2FC9858C">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position w:val="-16"/>
                <w:sz w:val="24"/>
                <w:szCs w:val="24"/>
                <w:lang w:eastAsia="zh-CN"/>
              </w:rPr>
            </w:pPr>
            <w:r>
              <w:rPr>
                <w:rFonts w:hint="eastAsia" w:asciiTheme="minorEastAsia" w:hAnsiTheme="minorEastAsia" w:eastAsiaTheme="minorEastAsia" w:cstheme="minorEastAsia"/>
                <w:position w:val="-16"/>
                <w:sz w:val="24"/>
                <w:szCs w:val="24"/>
                <w:lang w:eastAsia="zh-CN"/>
              </w:rPr>
              <w:t>计算安全系数</w:t>
            </w:r>
          </w:p>
        </w:tc>
        <w:tc>
          <w:tcPr>
            <w:tcW w:w="2027" w:type="dxa"/>
            <w:vAlign w:val="center"/>
          </w:tcPr>
          <w:p w14:paraId="5E93DA9A">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position w:val="-16"/>
                <w:sz w:val="24"/>
                <w:szCs w:val="24"/>
                <w:lang w:eastAsia="zh-CN"/>
              </w:rPr>
            </w:pPr>
            <w:r>
              <w:rPr>
                <w:rFonts w:hint="eastAsia" w:asciiTheme="minorEastAsia" w:hAnsiTheme="minorEastAsia" w:eastAsiaTheme="minorEastAsia" w:cstheme="minorEastAsia"/>
                <w:position w:val="-16"/>
                <w:sz w:val="24"/>
                <w:szCs w:val="24"/>
                <w:lang w:eastAsia="zh-CN"/>
              </w:rPr>
              <w:t>规范规定值</w:t>
            </w:r>
          </w:p>
        </w:tc>
        <w:tc>
          <w:tcPr>
            <w:tcW w:w="1963" w:type="dxa"/>
            <w:vAlign w:val="center"/>
          </w:tcPr>
          <w:p w14:paraId="2C50FF07">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position w:val="-16"/>
                <w:sz w:val="24"/>
                <w:szCs w:val="24"/>
                <w:lang w:eastAsia="zh-CN"/>
              </w:rPr>
            </w:pPr>
            <w:r>
              <w:rPr>
                <w:rFonts w:hint="eastAsia" w:asciiTheme="minorEastAsia" w:hAnsiTheme="minorEastAsia" w:eastAsiaTheme="minorEastAsia" w:cstheme="minorEastAsia"/>
                <w:position w:val="-16"/>
                <w:sz w:val="24"/>
                <w:szCs w:val="24"/>
                <w:lang w:eastAsia="zh-CN"/>
              </w:rPr>
              <w:t>是否满足要求</w:t>
            </w:r>
          </w:p>
        </w:tc>
      </w:tr>
      <w:tr w14:paraId="4A4BB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3051" w:type="dxa"/>
            <w:vAlign w:val="center"/>
          </w:tcPr>
          <w:p w14:paraId="3E958C5A">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position w:val="-16"/>
                <w:sz w:val="24"/>
                <w:szCs w:val="24"/>
                <w:lang w:eastAsia="zh-CN"/>
              </w:rPr>
            </w:pPr>
            <w:r>
              <w:rPr>
                <w:rFonts w:hint="eastAsia" w:asciiTheme="minorEastAsia" w:hAnsiTheme="minorEastAsia" w:eastAsiaTheme="minorEastAsia" w:cstheme="minorEastAsia"/>
                <w:position w:val="-16"/>
                <w:sz w:val="24"/>
                <w:szCs w:val="24"/>
                <w:lang w:eastAsia="zh-CN"/>
              </w:rPr>
              <w:t>正常运行</w:t>
            </w:r>
          </w:p>
        </w:tc>
        <w:tc>
          <w:tcPr>
            <w:tcW w:w="1818" w:type="dxa"/>
            <w:vAlign w:val="center"/>
          </w:tcPr>
          <w:p w14:paraId="36172A01">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position w:val="-16"/>
                <w:sz w:val="24"/>
                <w:szCs w:val="24"/>
                <w:lang w:eastAsia="zh-CN"/>
              </w:rPr>
            </w:pPr>
            <w:r>
              <w:rPr>
                <w:rFonts w:hint="eastAsia" w:asciiTheme="minorEastAsia" w:hAnsiTheme="minorEastAsia" w:eastAsiaTheme="minorEastAsia" w:cstheme="minorEastAsia"/>
                <w:position w:val="-16"/>
                <w:sz w:val="24"/>
                <w:szCs w:val="24"/>
                <w:lang w:eastAsia="zh-CN"/>
              </w:rPr>
              <w:t>1.277</w:t>
            </w:r>
          </w:p>
        </w:tc>
        <w:tc>
          <w:tcPr>
            <w:tcW w:w="2027" w:type="dxa"/>
            <w:vAlign w:val="center"/>
          </w:tcPr>
          <w:p w14:paraId="645F297A">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position w:val="-16"/>
                <w:sz w:val="24"/>
                <w:szCs w:val="24"/>
                <w:lang w:eastAsia="zh-CN"/>
              </w:rPr>
            </w:pPr>
            <w:r>
              <w:rPr>
                <w:rFonts w:hint="eastAsia" w:asciiTheme="minorEastAsia" w:hAnsiTheme="minorEastAsia" w:eastAsiaTheme="minorEastAsia" w:cstheme="minorEastAsia"/>
                <w:position w:val="-16"/>
                <w:sz w:val="24"/>
                <w:szCs w:val="24"/>
                <w:lang w:eastAsia="zh-CN"/>
              </w:rPr>
              <w:t>1.15</w:t>
            </w:r>
          </w:p>
        </w:tc>
        <w:tc>
          <w:tcPr>
            <w:tcW w:w="1963" w:type="dxa"/>
            <w:vAlign w:val="center"/>
          </w:tcPr>
          <w:p w14:paraId="2F03E11F">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position w:val="-16"/>
                <w:sz w:val="24"/>
                <w:szCs w:val="24"/>
                <w:lang w:eastAsia="zh-CN"/>
              </w:rPr>
            </w:pPr>
            <w:r>
              <w:rPr>
                <w:rFonts w:hint="eastAsia" w:asciiTheme="minorEastAsia" w:hAnsiTheme="minorEastAsia" w:eastAsiaTheme="minorEastAsia" w:cstheme="minorEastAsia"/>
                <w:position w:val="-16"/>
                <w:sz w:val="24"/>
                <w:szCs w:val="24"/>
                <w:lang w:eastAsia="zh-CN"/>
              </w:rPr>
              <w:t>是</w:t>
            </w:r>
          </w:p>
        </w:tc>
      </w:tr>
      <w:tr w14:paraId="2DAAA8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jc w:val="center"/>
        </w:trPr>
        <w:tc>
          <w:tcPr>
            <w:tcW w:w="3051" w:type="dxa"/>
            <w:vAlign w:val="center"/>
          </w:tcPr>
          <w:p w14:paraId="433781C2">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position w:val="-16"/>
                <w:sz w:val="24"/>
                <w:szCs w:val="24"/>
                <w:lang w:eastAsia="zh-CN"/>
              </w:rPr>
            </w:pPr>
            <w:r>
              <w:rPr>
                <w:rFonts w:hint="eastAsia" w:asciiTheme="minorEastAsia" w:hAnsiTheme="minorEastAsia" w:eastAsiaTheme="minorEastAsia" w:cstheme="minorEastAsia"/>
                <w:position w:val="-16"/>
                <w:sz w:val="24"/>
                <w:szCs w:val="24"/>
                <w:lang w:eastAsia="zh-CN"/>
              </w:rPr>
              <w:t>特殊运行</w:t>
            </w:r>
          </w:p>
        </w:tc>
        <w:tc>
          <w:tcPr>
            <w:tcW w:w="1818" w:type="dxa"/>
            <w:vAlign w:val="center"/>
          </w:tcPr>
          <w:p w14:paraId="74DBBFAE">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position w:val="-16"/>
                <w:sz w:val="24"/>
                <w:szCs w:val="24"/>
                <w:lang w:eastAsia="zh-CN"/>
              </w:rPr>
            </w:pPr>
            <w:r>
              <w:rPr>
                <w:rFonts w:hint="eastAsia" w:asciiTheme="minorEastAsia" w:hAnsiTheme="minorEastAsia" w:eastAsiaTheme="minorEastAsia" w:cstheme="minorEastAsia"/>
                <w:position w:val="-16"/>
                <w:sz w:val="24"/>
                <w:szCs w:val="24"/>
                <w:lang w:eastAsia="zh-CN"/>
              </w:rPr>
              <w:t>1.146</w:t>
            </w:r>
          </w:p>
        </w:tc>
        <w:tc>
          <w:tcPr>
            <w:tcW w:w="2027" w:type="dxa"/>
            <w:vAlign w:val="center"/>
          </w:tcPr>
          <w:p w14:paraId="4C4D04B5">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position w:val="-16"/>
                <w:sz w:val="24"/>
                <w:szCs w:val="24"/>
                <w:lang w:eastAsia="zh-CN"/>
              </w:rPr>
            </w:pPr>
            <w:r>
              <w:rPr>
                <w:rFonts w:hint="eastAsia" w:asciiTheme="minorEastAsia" w:hAnsiTheme="minorEastAsia" w:eastAsiaTheme="minorEastAsia" w:cstheme="minorEastAsia"/>
                <w:position w:val="-16"/>
                <w:sz w:val="24"/>
                <w:szCs w:val="24"/>
                <w:lang w:eastAsia="zh-CN"/>
              </w:rPr>
              <w:t>1.05</w:t>
            </w:r>
          </w:p>
        </w:tc>
        <w:tc>
          <w:tcPr>
            <w:tcW w:w="1963" w:type="dxa"/>
            <w:vAlign w:val="center"/>
          </w:tcPr>
          <w:p w14:paraId="2291AA5D">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heme="minorEastAsia" w:hAnsiTheme="minorEastAsia" w:eastAsiaTheme="minorEastAsia" w:cstheme="minorEastAsia"/>
                <w:position w:val="-16"/>
                <w:sz w:val="24"/>
                <w:szCs w:val="24"/>
                <w:lang w:eastAsia="zh-CN"/>
              </w:rPr>
            </w:pPr>
            <w:r>
              <w:rPr>
                <w:rFonts w:hint="eastAsia" w:asciiTheme="minorEastAsia" w:hAnsiTheme="minorEastAsia" w:eastAsiaTheme="minorEastAsia" w:cstheme="minorEastAsia"/>
                <w:position w:val="-16"/>
                <w:sz w:val="24"/>
                <w:szCs w:val="24"/>
                <w:lang w:eastAsia="zh-CN"/>
              </w:rPr>
              <w:t>是</w:t>
            </w:r>
          </w:p>
        </w:tc>
      </w:tr>
    </w:tbl>
    <w:p w14:paraId="0F49D5DB">
      <w:pPr>
        <w:bidi w:val="0"/>
        <w:rPr>
          <w:rFonts w:hint="eastAsia"/>
          <w:position w:val="-16"/>
          <w:lang w:eastAsia="zh-CN"/>
        </w:rPr>
      </w:pPr>
      <w:r>
        <w:rPr>
          <w:rFonts w:hint="eastAsia"/>
          <w:position w:val="-16"/>
          <w:lang w:eastAsia="zh-CN"/>
        </w:rPr>
        <w:t>4、计算结论</w:t>
      </w:r>
    </w:p>
    <w:p w14:paraId="5BF5C211">
      <w:pPr>
        <w:bidi w:val="0"/>
        <w:rPr>
          <w:rFonts w:hint="eastAsia"/>
          <w:position w:val="-16"/>
          <w:lang w:eastAsia="zh-CN"/>
        </w:rPr>
      </w:pPr>
      <w:r>
        <w:rPr>
          <w:rFonts w:hint="eastAsia"/>
          <w:position w:val="-16"/>
          <w:lang w:eastAsia="zh-CN"/>
        </w:rPr>
        <w:t>由表4-6可知，坝体稳定计算运用情况按正常运行期间和特殊运行期间两种工况。从计算结果可见，闭库后断面对可能出现的各种工况都是安全的，抗滑稳定安全系数满足规范要求。</w:t>
      </w:r>
    </w:p>
    <w:p w14:paraId="4EC4BD23">
      <w:pPr>
        <w:pStyle w:val="5"/>
        <w:bidi w:val="0"/>
        <w:rPr>
          <w:color w:val="auto"/>
        </w:rPr>
      </w:pPr>
      <w:bookmarkStart w:id="468" w:name="_Toc30192"/>
      <w:bookmarkStart w:id="469" w:name="_Toc2663"/>
      <w:r>
        <w:rPr>
          <w:color w:val="auto"/>
        </w:rPr>
        <w:t>单元小结</w:t>
      </w:r>
      <w:bookmarkEnd w:id="466"/>
      <w:bookmarkEnd w:id="467"/>
      <w:bookmarkEnd w:id="468"/>
      <w:bookmarkEnd w:id="469"/>
    </w:p>
    <w:p w14:paraId="4E0A8C67">
      <w:pPr>
        <w:rPr>
          <w:color w:val="auto"/>
        </w:rPr>
      </w:pPr>
      <w:r>
        <w:rPr>
          <w:rFonts w:hint="eastAsia"/>
          <w:color w:val="auto"/>
          <w:lang w:eastAsia="zh-CN"/>
        </w:rPr>
        <w:t>元谋县大远矿业有限公司红坡铁矿选厂尾矿库</w:t>
      </w:r>
      <w:r>
        <w:rPr>
          <w:color w:val="auto"/>
        </w:rPr>
        <w:t>闭库工程，</w:t>
      </w:r>
      <w:bookmarkStart w:id="470" w:name="_Hlk106803695"/>
      <w:r>
        <w:rPr>
          <w:color w:val="auto"/>
        </w:rPr>
        <w:t>经评价人员现场</w:t>
      </w:r>
      <w:r>
        <w:rPr>
          <w:rFonts w:hint="eastAsia"/>
          <w:color w:val="auto"/>
          <w:lang w:eastAsia="zh-CN"/>
        </w:rPr>
        <w:t>察看</w:t>
      </w:r>
      <w:bookmarkEnd w:id="470"/>
      <w:r>
        <w:rPr>
          <w:color w:val="auto"/>
        </w:rPr>
        <w:t>，</w:t>
      </w:r>
      <w:r>
        <w:rPr>
          <w:rFonts w:hint="eastAsia"/>
          <w:color w:val="auto"/>
          <w:lang w:val="en-US" w:eastAsia="zh-CN"/>
        </w:rPr>
        <w:t>堆积坝已削坡降台，完善了相应的台阶排水，滩面已经整平修筑了排水沟</w:t>
      </w:r>
      <w:r>
        <w:rPr>
          <w:color w:val="auto"/>
        </w:rPr>
        <w:t>，库内已回填耕植土，复垦区已按设计要求种植植被。</w:t>
      </w:r>
    </w:p>
    <w:p w14:paraId="71F1C232">
      <w:pPr>
        <w:rPr>
          <w:color w:val="auto"/>
        </w:rPr>
      </w:pPr>
      <w:bookmarkStart w:id="471" w:name="_Hlk106803805"/>
      <w:r>
        <w:rPr>
          <w:rFonts w:hint="eastAsia"/>
          <w:color w:val="auto"/>
          <w:lang w:eastAsia="zh-CN"/>
        </w:rPr>
        <w:t>针对尾矿坝各工程进行安全稳定性计算，评价中采用三组数据对坝体稳定性进行了分析，经计算坝体在正常运行、洪水运行及特殊运行情况下，坝体抗滑稳定安全系数满足规范要求。</w:t>
      </w:r>
      <w:r>
        <w:rPr>
          <w:color w:val="auto"/>
        </w:rPr>
        <w:t>针对尾矿库闭库符合性检查表内的</w:t>
      </w:r>
      <w:r>
        <w:rPr>
          <w:rFonts w:hint="eastAsia"/>
          <w:color w:val="auto"/>
          <w:lang w:val="en-US" w:eastAsia="zh-CN"/>
        </w:rPr>
        <w:t>11</w:t>
      </w:r>
      <w:r>
        <w:rPr>
          <w:color w:val="auto"/>
        </w:rPr>
        <w:t>项进行检查，其中合格</w:t>
      </w:r>
      <w:r>
        <w:rPr>
          <w:rFonts w:hint="eastAsia"/>
          <w:color w:val="auto"/>
          <w:lang w:val="en-US" w:eastAsia="zh-CN"/>
        </w:rPr>
        <w:t>9</w:t>
      </w:r>
      <w:r>
        <w:rPr>
          <w:color w:val="auto"/>
        </w:rPr>
        <w:t>项</w:t>
      </w:r>
      <w:r>
        <w:rPr>
          <w:rFonts w:hint="eastAsia"/>
          <w:color w:val="auto"/>
          <w:lang w:eastAsia="zh-CN"/>
        </w:rPr>
        <w:t>（存在问题是闭库工程进度未按期完成、</w:t>
      </w:r>
      <w:r>
        <w:rPr>
          <w:rFonts w:hint="eastAsia"/>
          <w:color w:val="auto"/>
          <w:lang w:val="en-US" w:eastAsia="zh-CN"/>
        </w:rPr>
        <w:t>以及未拆除村民的挡水坝、未设置坝脚集水池</w:t>
      </w:r>
      <w:r>
        <w:rPr>
          <w:rFonts w:hint="eastAsia"/>
          <w:color w:val="auto"/>
          <w:lang w:eastAsia="zh-CN"/>
        </w:rPr>
        <w:t>）。</w:t>
      </w:r>
      <w:r>
        <w:rPr>
          <w:color w:val="auto"/>
        </w:rPr>
        <w:t>经评价分析</w:t>
      </w:r>
      <w:r>
        <w:rPr>
          <w:rFonts w:hint="eastAsia"/>
          <w:color w:val="auto"/>
        </w:rPr>
        <w:t>，尾矿坝处于稳定状态，满足《尾矿库安全规程》(</w:t>
      </w:r>
      <w:r>
        <w:rPr>
          <w:rFonts w:hint="eastAsia"/>
          <w:color w:val="auto"/>
          <w:lang w:val="en-US" w:eastAsia="zh-CN"/>
        </w:rPr>
        <w:t>GB</w:t>
      </w:r>
      <w:r>
        <w:rPr>
          <w:rFonts w:hint="eastAsia"/>
          <w:color w:val="auto"/>
        </w:rPr>
        <w:t>39496-2020</w:t>
      </w:r>
      <w:r>
        <w:rPr>
          <w:rFonts w:hint="eastAsia"/>
          <w:color w:val="auto"/>
          <w:lang w:eastAsia="zh-CN"/>
        </w:rPr>
        <w:t>）</w:t>
      </w:r>
      <w:r>
        <w:rPr>
          <w:rFonts w:hint="eastAsia"/>
          <w:color w:val="auto"/>
        </w:rPr>
        <w:t>的相关要求</w:t>
      </w:r>
      <w:r>
        <w:rPr>
          <w:rFonts w:hint="eastAsia"/>
          <w:color w:val="auto"/>
          <w:lang w:eastAsia="zh-CN"/>
        </w:rPr>
        <w:t>，</w:t>
      </w:r>
      <w:r>
        <w:rPr>
          <w:color w:val="auto"/>
        </w:rPr>
        <w:t>尾矿库闭库安全评价单元具备安全验收条件。</w:t>
      </w:r>
    </w:p>
    <w:bookmarkEnd w:id="471"/>
    <w:p w14:paraId="6CCC92B5">
      <w:pPr>
        <w:pStyle w:val="4"/>
        <w:bidi w:val="0"/>
        <w:rPr>
          <w:rFonts w:cs="Times New Roman"/>
          <w:color w:val="auto"/>
        </w:rPr>
      </w:pPr>
      <w:bookmarkStart w:id="472" w:name="_Toc29355"/>
      <w:bookmarkStart w:id="473" w:name="_Toc18538"/>
      <w:bookmarkStart w:id="474" w:name="_Toc100570442"/>
      <w:bookmarkStart w:id="475" w:name="_Toc105057973"/>
      <w:r>
        <w:rPr>
          <w:color w:val="auto"/>
        </w:rPr>
        <w:t>防排洪系统单元</w:t>
      </w:r>
      <w:bookmarkEnd w:id="472"/>
      <w:bookmarkEnd w:id="473"/>
    </w:p>
    <w:p w14:paraId="78FB867F">
      <w:pPr>
        <w:pStyle w:val="5"/>
        <w:bidi w:val="0"/>
        <w:rPr>
          <w:rFonts w:hint="default"/>
          <w:color w:val="auto"/>
          <w:lang w:val="en-US" w:eastAsia="zh-CN"/>
        </w:rPr>
      </w:pPr>
      <w:bookmarkStart w:id="476" w:name="_Toc23773"/>
      <w:bookmarkStart w:id="477" w:name="_Toc20644"/>
      <w:r>
        <w:rPr>
          <w:rFonts w:hint="eastAsia"/>
          <w:color w:val="auto"/>
          <w:lang w:val="en-US" w:eastAsia="zh-CN"/>
        </w:rPr>
        <w:t>危险有害因素辨识与分析</w:t>
      </w:r>
      <w:bookmarkEnd w:id="476"/>
      <w:bookmarkEnd w:id="477"/>
    </w:p>
    <w:p w14:paraId="2A97CE6B">
      <w:pPr>
        <w:bidi w:val="0"/>
        <w:rPr>
          <w:rFonts w:hint="eastAsia"/>
          <w:color w:val="auto"/>
          <w:lang w:eastAsia="zh-CN"/>
        </w:rPr>
      </w:pPr>
      <w:r>
        <w:rPr>
          <w:rFonts w:hint="eastAsia"/>
          <w:color w:val="auto"/>
          <w:lang w:val="en-US" w:eastAsia="zh-CN"/>
        </w:rPr>
        <w:t>1、防洪设防标准低于现行标准，造成尾矿库防洪能力不足，造成溃坝。</w:t>
      </w:r>
    </w:p>
    <w:p w14:paraId="74BF4032">
      <w:pPr>
        <w:bidi w:val="0"/>
        <w:rPr>
          <w:rFonts w:hint="eastAsia"/>
          <w:color w:val="auto"/>
          <w:lang w:eastAsia="zh-CN"/>
        </w:rPr>
      </w:pPr>
      <w:r>
        <w:rPr>
          <w:rFonts w:hint="default"/>
          <w:color w:val="auto"/>
          <w:lang w:val="en-US" w:eastAsia="zh-CN"/>
        </w:rPr>
        <w:t>2、洪水计算依据不充分，洪峰流量和洪水总量计算结果偏低，造成排洪能力不足，危及尾矿库安全运行。</w:t>
      </w:r>
    </w:p>
    <w:p w14:paraId="20057CD4">
      <w:pPr>
        <w:bidi w:val="0"/>
        <w:rPr>
          <w:rFonts w:hint="eastAsia"/>
          <w:color w:val="auto"/>
          <w:lang w:eastAsia="zh-CN"/>
        </w:rPr>
      </w:pPr>
      <w:r>
        <w:rPr>
          <w:rFonts w:hint="default"/>
          <w:color w:val="auto"/>
          <w:lang w:val="en-US" w:eastAsia="zh-CN"/>
        </w:rPr>
        <w:t>3、由于排洪排水构筑物的基岩不稳定，局部下沉、滑坡、坍塌、排洪排水设施被堵、泄洪能力不足等，造成排洪排水构筑物受到破坏，导致洪水不能及时排泄，造成废水、废液外流，造成环境污染。</w:t>
      </w:r>
    </w:p>
    <w:p w14:paraId="5CB4091D">
      <w:pPr>
        <w:bidi w:val="0"/>
        <w:rPr>
          <w:rFonts w:hint="eastAsia"/>
          <w:color w:val="auto"/>
          <w:lang w:eastAsia="zh-CN"/>
        </w:rPr>
      </w:pPr>
      <w:r>
        <w:rPr>
          <w:rFonts w:hint="default"/>
          <w:color w:val="auto"/>
          <w:lang w:val="en-US" w:eastAsia="zh-CN"/>
        </w:rPr>
        <w:t>4、在施工中因质量问题或运行中各种不利因素引起排洪设施损坏（如混凝土剥落、裂缝漏沙、沙石磨蚀、钢筋外露等）造成排洪排水构筑物受到破坏，导致洪水不能及时排泄，造成废水、废液外流，造成环境污染。</w:t>
      </w:r>
    </w:p>
    <w:p w14:paraId="24244608">
      <w:pPr>
        <w:bidi w:val="0"/>
        <w:rPr>
          <w:rFonts w:hint="eastAsia"/>
          <w:color w:val="auto"/>
          <w:lang w:eastAsia="zh-CN"/>
        </w:rPr>
      </w:pPr>
      <w:r>
        <w:rPr>
          <w:rFonts w:hint="default"/>
          <w:color w:val="auto"/>
          <w:lang w:val="en-US" w:eastAsia="zh-CN"/>
        </w:rPr>
        <w:t>5、疏于日常管理，对排洪设施等出现的事故隐患未能采取及时处理措施，导致的洪水漫顶；</w:t>
      </w:r>
    </w:p>
    <w:p w14:paraId="1EEAC37C">
      <w:pPr>
        <w:bidi w:val="0"/>
        <w:rPr>
          <w:rFonts w:hint="eastAsia"/>
          <w:color w:val="auto"/>
          <w:lang w:eastAsia="zh-CN"/>
        </w:rPr>
      </w:pPr>
      <w:r>
        <w:rPr>
          <w:rFonts w:hint="default"/>
          <w:color w:val="auto"/>
          <w:lang w:val="en-US" w:eastAsia="zh-CN"/>
        </w:rPr>
        <w:t>6、缺乏抗洪准备和防汛应急措施，对洪水可能造成的破坏没有应急预案而造成的事故；</w:t>
      </w:r>
    </w:p>
    <w:p w14:paraId="5C5552C7">
      <w:pPr>
        <w:bidi w:val="0"/>
        <w:rPr>
          <w:color w:val="auto"/>
        </w:rPr>
      </w:pPr>
      <w:r>
        <w:rPr>
          <w:rFonts w:hint="default"/>
          <w:color w:val="auto"/>
          <w:lang w:val="en-US" w:eastAsia="zh-CN"/>
        </w:rPr>
        <w:t>7、尾矿库管理有缺陷，不能满足安全要求。</w:t>
      </w:r>
    </w:p>
    <w:p w14:paraId="755D63EA">
      <w:pPr>
        <w:pStyle w:val="5"/>
        <w:bidi w:val="0"/>
        <w:rPr>
          <w:color w:val="auto"/>
        </w:rPr>
      </w:pPr>
      <w:bookmarkStart w:id="478" w:name="_Toc18473"/>
      <w:bookmarkStart w:id="479" w:name="_Toc9862"/>
      <w:r>
        <w:rPr>
          <w:color w:val="auto"/>
        </w:rPr>
        <w:t>防排洪系统符合性检查</w:t>
      </w:r>
      <w:bookmarkEnd w:id="478"/>
      <w:bookmarkEnd w:id="479"/>
    </w:p>
    <w:p w14:paraId="38D23CB1">
      <w:pPr>
        <w:rPr>
          <w:color w:val="auto"/>
        </w:rPr>
      </w:pPr>
      <w:r>
        <w:rPr>
          <w:color w:val="auto"/>
        </w:rPr>
        <w:t>根据</w:t>
      </w:r>
      <w:r>
        <w:rPr>
          <w:rFonts w:hint="eastAsia" w:ascii="宋体" w:cs="宋体"/>
          <w:color w:val="auto"/>
          <w:sz w:val="28"/>
          <w:szCs w:val="28"/>
          <w:lang w:val="en-US" w:eastAsia="zh-CN"/>
        </w:rPr>
        <w:t>昆明赛特拉矿山工程设计有限公司</w:t>
      </w:r>
      <w:r>
        <w:rPr>
          <w:color w:val="auto"/>
        </w:rPr>
        <w:t>20</w:t>
      </w:r>
      <w:r>
        <w:rPr>
          <w:rFonts w:hint="eastAsia"/>
          <w:color w:val="auto"/>
          <w:lang w:val="en-US" w:eastAsia="zh-CN"/>
        </w:rPr>
        <w:t>23</w:t>
      </w:r>
      <w:r>
        <w:rPr>
          <w:color w:val="auto"/>
        </w:rPr>
        <w:t>年</w:t>
      </w:r>
      <w:r>
        <w:rPr>
          <w:rFonts w:hint="eastAsia"/>
          <w:color w:val="auto"/>
          <w:lang w:val="en-US" w:eastAsia="zh-CN"/>
        </w:rPr>
        <w:t>4</w:t>
      </w:r>
      <w:r>
        <w:rPr>
          <w:color w:val="auto"/>
        </w:rPr>
        <w:t>月编制的《</w:t>
      </w:r>
      <w:r>
        <w:rPr>
          <w:rFonts w:hint="eastAsia"/>
          <w:color w:val="auto"/>
          <w:lang w:eastAsia="zh-CN"/>
        </w:rPr>
        <w:t>元谋县大远矿业有限公司红坡铁矿选厂尾矿库</w:t>
      </w:r>
      <w:r>
        <w:rPr>
          <w:color w:val="auto"/>
        </w:rPr>
        <w:t>闭库</w:t>
      </w:r>
      <w:r>
        <w:rPr>
          <w:rFonts w:hint="eastAsia"/>
          <w:color w:val="auto"/>
          <w:lang w:val="en-US" w:eastAsia="zh-CN"/>
        </w:rPr>
        <w:t>工程</w:t>
      </w:r>
      <w:r>
        <w:rPr>
          <w:color w:val="auto"/>
        </w:rPr>
        <w:t>安全设施设计》</w:t>
      </w:r>
      <w:r>
        <w:rPr>
          <w:rFonts w:hint="eastAsia" w:ascii="宋体" w:cs="宋体"/>
          <w:color w:val="auto"/>
          <w:sz w:val="28"/>
          <w:szCs w:val="28"/>
          <w:lang w:val="en-US" w:eastAsia="zh-CN"/>
        </w:rPr>
        <w:t>昆明赛特拉矿山工程设计有限公司</w:t>
      </w:r>
      <w:r>
        <w:rPr>
          <w:color w:val="auto"/>
        </w:rPr>
        <w:t>20</w:t>
      </w:r>
      <w:r>
        <w:rPr>
          <w:rFonts w:hint="eastAsia"/>
          <w:color w:val="auto"/>
          <w:lang w:val="en-US" w:eastAsia="zh-CN"/>
        </w:rPr>
        <w:t>23</w:t>
      </w:r>
      <w:r>
        <w:rPr>
          <w:color w:val="auto"/>
        </w:rPr>
        <w:t>年</w:t>
      </w:r>
      <w:r>
        <w:rPr>
          <w:rFonts w:hint="eastAsia"/>
          <w:color w:val="auto"/>
          <w:lang w:val="en-US" w:eastAsia="zh-CN"/>
        </w:rPr>
        <w:t>6</w:t>
      </w:r>
      <w:r>
        <w:rPr>
          <w:color w:val="auto"/>
        </w:rPr>
        <w:t>月编制的</w:t>
      </w:r>
      <w:r>
        <w:rPr>
          <w:rFonts w:hint="eastAsia"/>
          <w:color w:val="auto"/>
          <w:lang w:eastAsia="zh-CN"/>
        </w:rPr>
        <w:t>《元谋县大远矿业有限公司红坡铁矿选厂尾矿库</w:t>
      </w:r>
      <w:r>
        <w:rPr>
          <w:color w:val="auto"/>
        </w:rPr>
        <w:t>闭库</w:t>
      </w:r>
      <w:r>
        <w:rPr>
          <w:rFonts w:hint="eastAsia"/>
          <w:color w:val="auto"/>
          <w:lang w:val="en-US" w:eastAsia="zh-CN"/>
        </w:rPr>
        <w:t>工程施工图</w:t>
      </w:r>
      <w:r>
        <w:rPr>
          <w:rFonts w:hint="eastAsia"/>
          <w:color w:val="auto"/>
          <w:lang w:eastAsia="zh-CN"/>
        </w:rPr>
        <w:t>》</w:t>
      </w:r>
      <w:r>
        <w:rPr>
          <w:color w:val="auto"/>
        </w:rPr>
        <w:t>，对防排洪系统建设情况进行符合性检查。</w:t>
      </w:r>
    </w:p>
    <w:p w14:paraId="2C9D9077">
      <w:pPr>
        <w:pStyle w:val="18"/>
        <w:keepNext/>
        <w:rPr>
          <w:rFonts w:cs="Times New Roman"/>
          <w:color w:val="auto"/>
        </w:rPr>
      </w:pPr>
      <w:r>
        <w:rPr>
          <w:rFonts w:cs="Times New Roman"/>
          <w:color w:val="auto"/>
        </w:rPr>
        <w:t>表</w:t>
      </w:r>
      <w:r>
        <w:rPr>
          <w:rFonts w:hint="eastAsia" w:cs="Times New Roman"/>
          <w:color w:val="auto"/>
          <w:lang w:val="en-US" w:eastAsia="zh-CN"/>
        </w:rPr>
        <w:t>4</w:t>
      </w:r>
      <w:r>
        <w:rPr>
          <w:rFonts w:cs="Times New Roman"/>
          <w:color w:val="auto"/>
        </w:rPr>
        <w:noBreakHyphen/>
      </w:r>
      <w:r>
        <w:rPr>
          <w:rFonts w:cs="Times New Roman"/>
          <w:color w:val="auto"/>
        </w:rPr>
        <w:fldChar w:fldCharType="begin"/>
      </w:r>
      <w:r>
        <w:rPr>
          <w:rFonts w:cs="Times New Roman"/>
          <w:color w:val="auto"/>
        </w:rPr>
        <w:instrText xml:space="preserve"> SEQ 表 \* ARABIC \s 1 </w:instrText>
      </w:r>
      <w:r>
        <w:rPr>
          <w:rFonts w:cs="Times New Roman"/>
          <w:color w:val="auto"/>
        </w:rPr>
        <w:fldChar w:fldCharType="separate"/>
      </w:r>
      <w:r>
        <w:rPr>
          <w:rFonts w:cs="Times New Roman"/>
          <w:color w:val="auto"/>
        </w:rPr>
        <w:t>3</w:t>
      </w:r>
      <w:r>
        <w:rPr>
          <w:rFonts w:cs="Times New Roman"/>
          <w:color w:val="auto"/>
        </w:rPr>
        <w:fldChar w:fldCharType="end"/>
      </w:r>
      <w:r>
        <w:rPr>
          <w:rFonts w:cs="Times New Roman"/>
          <w:color w:val="auto"/>
        </w:rPr>
        <w:t>防排洪系统安全检查表</w:t>
      </w:r>
    </w:p>
    <w:tbl>
      <w:tblPr>
        <w:tblStyle w:val="5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8"/>
        <w:gridCol w:w="3082"/>
        <w:gridCol w:w="1483"/>
        <w:gridCol w:w="3528"/>
        <w:gridCol w:w="638"/>
      </w:tblGrid>
      <w:tr w14:paraId="18CB2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vAlign w:val="center"/>
          </w:tcPr>
          <w:p w14:paraId="76EAD983">
            <w:pPr>
              <w:pStyle w:val="70"/>
              <w:jc w:val="center"/>
              <w:rPr>
                <w:color w:val="auto"/>
              </w:rPr>
            </w:pPr>
            <w:r>
              <w:rPr>
                <w:color w:val="auto"/>
              </w:rPr>
              <w:t>序号</w:t>
            </w:r>
          </w:p>
        </w:tc>
        <w:tc>
          <w:tcPr>
            <w:tcW w:w="0" w:type="auto"/>
            <w:vAlign w:val="center"/>
          </w:tcPr>
          <w:p w14:paraId="335DF82E">
            <w:pPr>
              <w:pStyle w:val="70"/>
              <w:jc w:val="center"/>
              <w:rPr>
                <w:color w:val="auto"/>
              </w:rPr>
            </w:pPr>
            <w:r>
              <w:rPr>
                <w:color w:val="auto"/>
              </w:rPr>
              <w:t>检查内容</w:t>
            </w:r>
          </w:p>
        </w:tc>
        <w:tc>
          <w:tcPr>
            <w:tcW w:w="0" w:type="auto"/>
            <w:vAlign w:val="center"/>
          </w:tcPr>
          <w:p w14:paraId="34DBD0DE">
            <w:pPr>
              <w:pStyle w:val="70"/>
              <w:jc w:val="center"/>
              <w:rPr>
                <w:color w:val="auto"/>
              </w:rPr>
            </w:pPr>
            <w:r>
              <w:rPr>
                <w:color w:val="auto"/>
              </w:rPr>
              <w:t>检查</w:t>
            </w:r>
          </w:p>
          <w:p w14:paraId="6179C5AA">
            <w:pPr>
              <w:pStyle w:val="70"/>
              <w:jc w:val="center"/>
              <w:rPr>
                <w:color w:val="auto"/>
              </w:rPr>
            </w:pPr>
            <w:r>
              <w:rPr>
                <w:color w:val="auto"/>
              </w:rPr>
              <w:t>依据</w:t>
            </w:r>
          </w:p>
        </w:tc>
        <w:tc>
          <w:tcPr>
            <w:tcW w:w="3528" w:type="dxa"/>
            <w:vAlign w:val="center"/>
          </w:tcPr>
          <w:p w14:paraId="51E3083A">
            <w:pPr>
              <w:pStyle w:val="70"/>
              <w:jc w:val="center"/>
              <w:rPr>
                <w:color w:val="auto"/>
              </w:rPr>
            </w:pPr>
            <w:r>
              <w:rPr>
                <w:color w:val="auto"/>
              </w:rPr>
              <w:t>检查</w:t>
            </w:r>
          </w:p>
          <w:p w14:paraId="7E70B141">
            <w:pPr>
              <w:pStyle w:val="70"/>
              <w:jc w:val="center"/>
              <w:rPr>
                <w:color w:val="auto"/>
              </w:rPr>
            </w:pPr>
            <w:r>
              <w:rPr>
                <w:color w:val="auto"/>
              </w:rPr>
              <w:t>情况</w:t>
            </w:r>
          </w:p>
        </w:tc>
        <w:tc>
          <w:tcPr>
            <w:tcW w:w="638" w:type="dxa"/>
            <w:vAlign w:val="center"/>
          </w:tcPr>
          <w:p w14:paraId="120A65E8">
            <w:pPr>
              <w:pStyle w:val="70"/>
              <w:jc w:val="center"/>
              <w:rPr>
                <w:color w:val="auto"/>
              </w:rPr>
            </w:pPr>
            <w:r>
              <w:rPr>
                <w:color w:val="auto"/>
              </w:rPr>
              <w:t>检查结果</w:t>
            </w:r>
          </w:p>
        </w:tc>
      </w:tr>
      <w:tr w14:paraId="01A7B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blHeader/>
        </w:trPr>
        <w:tc>
          <w:tcPr>
            <w:tcW w:w="0" w:type="auto"/>
            <w:vAlign w:val="center"/>
          </w:tcPr>
          <w:p w14:paraId="7D279087">
            <w:pPr>
              <w:pStyle w:val="70"/>
              <w:rPr>
                <w:color w:val="auto"/>
              </w:rPr>
            </w:pPr>
            <w:r>
              <w:rPr>
                <w:color w:val="auto"/>
              </w:rPr>
              <w:t>1.</w:t>
            </w:r>
          </w:p>
        </w:tc>
        <w:tc>
          <w:tcPr>
            <w:tcW w:w="0" w:type="auto"/>
            <w:vAlign w:val="center"/>
          </w:tcPr>
          <w:p w14:paraId="281EFC11">
            <w:pPr>
              <w:pStyle w:val="70"/>
              <w:rPr>
                <w:rFonts w:hint="eastAsia" w:eastAsia="宋体"/>
                <w:color w:val="auto"/>
                <w:lang w:eastAsia="zh-CN"/>
              </w:rPr>
            </w:pPr>
            <w:r>
              <w:rPr>
                <w:rFonts w:hint="eastAsia"/>
                <w:lang w:val="en-US" w:eastAsia="zh-CN"/>
              </w:rPr>
              <w:t>在库区尾部新修挡水坝，挡水坝设计采用粉质黏土作为基础持力层。库尾挡水坝顶宽1.5m，坝高3m（不含地面以下2m），坝顶标高1913.0m，内坡比1:0.2，外坡比1:0.4，m10浆砌石结构。</w:t>
            </w:r>
          </w:p>
        </w:tc>
        <w:tc>
          <w:tcPr>
            <w:tcW w:w="1483" w:type="dxa"/>
            <w:vMerge w:val="restart"/>
            <w:vAlign w:val="center"/>
          </w:tcPr>
          <w:p w14:paraId="5CC82F17">
            <w:pPr>
              <w:pStyle w:val="70"/>
              <w:rPr>
                <w:color w:val="auto"/>
              </w:rPr>
            </w:pPr>
            <w:r>
              <w:rPr>
                <w:color w:val="auto"/>
              </w:rPr>
              <w:t>《</w:t>
            </w:r>
            <w:r>
              <w:rPr>
                <w:rFonts w:hint="eastAsia"/>
                <w:color w:val="auto"/>
                <w:lang w:eastAsia="zh-CN"/>
              </w:rPr>
              <w:t>元谋县大远矿业有限公司红坡铁矿选厂尾矿库闭库工程</w:t>
            </w:r>
            <w:r>
              <w:rPr>
                <w:color w:val="auto"/>
              </w:rPr>
              <w:t>安全设施设计》</w:t>
            </w:r>
            <w:r>
              <w:rPr>
                <w:rFonts w:hint="eastAsia"/>
                <w:color w:val="auto"/>
                <w:lang w:eastAsia="zh-CN"/>
              </w:rPr>
              <w:t>《</w:t>
            </w:r>
            <w:r>
              <w:rPr>
                <w:rFonts w:hint="eastAsia"/>
                <w:color w:val="auto"/>
                <w:lang w:val="en-US" w:eastAsia="zh-CN"/>
              </w:rPr>
              <w:t>闭库工程施工图</w:t>
            </w:r>
            <w:r>
              <w:rPr>
                <w:rFonts w:hint="eastAsia"/>
                <w:color w:val="auto"/>
                <w:lang w:eastAsia="zh-CN"/>
              </w:rPr>
              <w:t>》</w:t>
            </w:r>
          </w:p>
          <w:p w14:paraId="7EF66C6E">
            <w:pPr>
              <w:pStyle w:val="70"/>
              <w:rPr>
                <w:rFonts w:hint="eastAsia"/>
                <w:color w:val="auto"/>
                <w:lang w:eastAsia="zh-CN"/>
              </w:rPr>
            </w:pPr>
          </w:p>
          <w:p w14:paraId="18789621">
            <w:pPr>
              <w:pStyle w:val="70"/>
              <w:rPr>
                <w:rFonts w:hint="eastAsia"/>
                <w:color w:val="auto"/>
                <w:lang w:eastAsia="zh-CN"/>
              </w:rPr>
            </w:pPr>
          </w:p>
          <w:p w14:paraId="2C878CC3">
            <w:pPr>
              <w:pStyle w:val="70"/>
              <w:rPr>
                <w:rFonts w:hint="eastAsia"/>
                <w:color w:val="auto"/>
                <w:lang w:eastAsia="zh-CN"/>
              </w:rPr>
            </w:pPr>
          </w:p>
          <w:p w14:paraId="09E6E14B">
            <w:pPr>
              <w:pStyle w:val="70"/>
              <w:rPr>
                <w:rFonts w:hint="eastAsia"/>
                <w:color w:val="auto"/>
                <w:lang w:eastAsia="zh-CN"/>
              </w:rPr>
            </w:pPr>
          </w:p>
          <w:p w14:paraId="5747666B">
            <w:pPr>
              <w:pStyle w:val="70"/>
              <w:rPr>
                <w:rFonts w:hint="eastAsia"/>
                <w:color w:val="auto"/>
                <w:lang w:eastAsia="zh-CN"/>
              </w:rPr>
            </w:pPr>
          </w:p>
          <w:p w14:paraId="2EE3DF01">
            <w:pPr>
              <w:pStyle w:val="70"/>
              <w:rPr>
                <w:rFonts w:hint="eastAsia"/>
                <w:color w:val="auto"/>
                <w:lang w:eastAsia="zh-CN"/>
              </w:rPr>
            </w:pPr>
          </w:p>
          <w:p w14:paraId="4CF02629">
            <w:pPr>
              <w:pStyle w:val="70"/>
              <w:rPr>
                <w:color w:val="auto"/>
              </w:rPr>
            </w:pPr>
          </w:p>
        </w:tc>
        <w:tc>
          <w:tcPr>
            <w:tcW w:w="3528" w:type="dxa"/>
            <w:vAlign w:val="center"/>
          </w:tcPr>
          <w:p w14:paraId="7C7B51BB">
            <w:pPr>
              <w:pStyle w:val="70"/>
              <w:rPr>
                <w:color w:val="auto"/>
              </w:rPr>
            </w:pPr>
            <w:r>
              <w:rPr>
                <w:rFonts w:hint="eastAsia"/>
                <w:color w:val="auto"/>
                <w:lang w:val="en-US" w:eastAsia="zh-CN"/>
              </w:rPr>
              <w:t>库尾新修筑了挡水坝，结构为m10浆砌石，清基深度2m，长度33.7m，下底宽3m，上底宽1.5m，地面线以上高3m，外坡1:0.4，内坡1:0.2，挡水坝每隔10m设置了一沉降缝，沉降缝宽20mm，缝中间回填沥青麻丝。</w:t>
            </w:r>
          </w:p>
        </w:tc>
        <w:tc>
          <w:tcPr>
            <w:tcW w:w="638" w:type="dxa"/>
            <w:vAlign w:val="center"/>
          </w:tcPr>
          <w:p w14:paraId="7DCF7063">
            <w:pPr>
              <w:pStyle w:val="70"/>
              <w:rPr>
                <w:color w:val="auto"/>
              </w:rPr>
            </w:pPr>
            <w:r>
              <w:rPr>
                <w:color w:val="auto"/>
              </w:rPr>
              <w:t>符合</w:t>
            </w:r>
          </w:p>
        </w:tc>
      </w:tr>
      <w:tr w14:paraId="2195D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vAlign w:val="center"/>
          </w:tcPr>
          <w:p w14:paraId="037CBACE">
            <w:pPr>
              <w:pStyle w:val="70"/>
              <w:rPr>
                <w:color w:val="auto"/>
              </w:rPr>
            </w:pPr>
            <w:r>
              <w:rPr>
                <w:color w:val="auto"/>
              </w:rPr>
              <w:t>2.</w:t>
            </w:r>
          </w:p>
        </w:tc>
        <w:tc>
          <w:tcPr>
            <w:tcW w:w="0" w:type="auto"/>
            <w:vAlign w:val="center"/>
          </w:tcPr>
          <w:p w14:paraId="3ECF61FB">
            <w:pPr>
              <w:pStyle w:val="70"/>
              <w:rPr>
                <w:rFonts w:hint="eastAsia" w:eastAsia="宋体"/>
                <w:color w:val="auto"/>
                <w:lang w:eastAsia="zh-CN"/>
              </w:rPr>
            </w:pPr>
            <w:r>
              <w:rPr>
                <w:rFonts w:hint="eastAsia" w:eastAsia="宋体"/>
                <w:color w:val="auto"/>
                <w:lang w:val="en-US" w:eastAsia="zh-CN"/>
              </w:rPr>
              <w:t>左岸新修截洪沟，为矩形断面，断面为：1.2</w:t>
            </w:r>
            <w:r>
              <w:rPr>
                <w:rFonts w:hint="eastAsia"/>
                <w:color w:val="auto"/>
                <w:lang w:val="en-US" w:eastAsia="zh-CN"/>
              </w:rPr>
              <w:t>m</w:t>
            </w:r>
            <w:r>
              <w:rPr>
                <w:rFonts w:hint="eastAsia" w:eastAsia="宋体"/>
                <w:color w:val="auto"/>
                <w:lang w:val="en-US" w:eastAsia="zh-CN"/>
              </w:rPr>
              <w:t>*1.2</w:t>
            </w:r>
            <w:r>
              <w:rPr>
                <w:rFonts w:hint="eastAsia"/>
                <w:color w:val="auto"/>
                <w:lang w:val="en-US" w:eastAsia="zh-CN"/>
              </w:rPr>
              <w:t>m</w:t>
            </w:r>
            <w:r>
              <w:rPr>
                <w:rFonts w:hint="eastAsia" w:eastAsia="宋体"/>
                <w:color w:val="auto"/>
                <w:lang w:val="en-US" w:eastAsia="zh-CN"/>
              </w:rPr>
              <w:t>，为</w:t>
            </w:r>
            <w:r>
              <w:rPr>
                <w:rFonts w:hint="eastAsia"/>
                <w:color w:val="auto"/>
                <w:lang w:val="en-US" w:eastAsia="zh-CN"/>
              </w:rPr>
              <w:t>m</w:t>
            </w:r>
            <w:r>
              <w:rPr>
                <w:rFonts w:hint="eastAsia" w:eastAsia="宋体"/>
                <w:color w:val="auto"/>
                <w:lang w:val="en-US" w:eastAsia="zh-CN"/>
              </w:rPr>
              <w:t>7.5浆砌石结构，其中ZJ1-ZJ3段修筑最小坡度为2%，ZJ3-ZJ10段修筑最小坡度为1%</w:t>
            </w:r>
            <w:r>
              <w:rPr>
                <w:rFonts w:hint="eastAsia"/>
                <w:color w:val="auto"/>
                <w:lang w:val="en-US" w:eastAsia="zh-CN"/>
              </w:rPr>
              <w:t>。</w:t>
            </w:r>
          </w:p>
        </w:tc>
        <w:tc>
          <w:tcPr>
            <w:tcW w:w="1483" w:type="dxa"/>
            <w:vMerge w:val="continue"/>
            <w:vAlign w:val="center"/>
          </w:tcPr>
          <w:p w14:paraId="73AB638F">
            <w:pPr>
              <w:pStyle w:val="70"/>
              <w:rPr>
                <w:color w:val="auto"/>
              </w:rPr>
            </w:pPr>
          </w:p>
        </w:tc>
        <w:tc>
          <w:tcPr>
            <w:tcW w:w="3528" w:type="dxa"/>
            <w:vAlign w:val="center"/>
          </w:tcPr>
          <w:p w14:paraId="47F77505">
            <w:pPr>
              <w:pStyle w:val="70"/>
              <w:rPr>
                <w:rFonts w:hint="default" w:eastAsia="宋体"/>
                <w:color w:val="auto"/>
                <w:lang w:val="en-US" w:eastAsia="zh-CN"/>
              </w:rPr>
            </w:pPr>
            <w:r>
              <w:rPr>
                <w:rFonts w:hint="eastAsia"/>
                <w:color w:val="auto"/>
                <w:lang w:val="en-US" w:eastAsia="zh-CN"/>
              </w:rPr>
              <w:t>左岸新建了截洪沟，结构为C15混凝土垫层、m7.5浆砌块石、1:2水泥抹面20mm，总长564m，断面尺寸1.2m*1.2m，滩面段坡度1%-2%，截洪沟每隔10m设置了一沉降缝，沉降缝宽20mm，缝中间回填沥青麻丝。</w:t>
            </w:r>
          </w:p>
        </w:tc>
        <w:tc>
          <w:tcPr>
            <w:tcW w:w="638" w:type="dxa"/>
            <w:vAlign w:val="center"/>
          </w:tcPr>
          <w:p w14:paraId="5F74CE1B">
            <w:pPr>
              <w:pStyle w:val="70"/>
              <w:rPr>
                <w:color w:val="auto"/>
              </w:rPr>
            </w:pPr>
            <w:r>
              <w:rPr>
                <w:color w:val="auto"/>
              </w:rPr>
              <w:t>符合</w:t>
            </w:r>
          </w:p>
        </w:tc>
      </w:tr>
      <w:tr w14:paraId="35D24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vAlign w:val="center"/>
          </w:tcPr>
          <w:p w14:paraId="18840170">
            <w:pPr>
              <w:pStyle w:val="70"/>
              <w:rPr>
                <w:rFonts w:hint="eastAsia" w:eastAsia="宋体"/>
                <w:color w:val="auto"/>
                <w:lang w:val="en-US" w:eastAsia="zh-CN"/>
              </w:rPr>
            </w:pPr>
            <w:r>
              <w:rPr>
                <w:rFonts w:hint="eastAsia"/>
                <w:color w:val="auto"/>
                <w:lang w:val="en-US" w:eastAsia="zh-CN"/>
              </w:rPr>
              <w:t>3</w:t>
            </w:r>
          </w:p>
        </w:tc>
        <w:tc>
          <w:tcPr>
            <w:tcW w:w="0" w:type="auto"/>
            <w:vAlign w:val="center"/>
          </w:tcPr>
          <w:p w14:paraId="6AAEC6B9">
            <w:pPr>
              <w:pStyle w:val="70"/>
              <w:rPr>
                <w:rFonts w:hint="eastAsia" w:eastAsia="宋体"/>
                <w:color w:val="auto"/>
                <w:lang w:val="en-US" w:eastAsia="zh-CN"/>
              </w:rPr>
            </w:pPr>
            <w:r>
              <w:rPr>
                <w:rFonts w:hint="eastAsia"/>
                <w:color w:val="auto"/>
                <w:lang w:val="en-US" w:eastAsia="zh-CN"/>
              </w:rPr>
              <w:t>左岸截洪沟跌水段设置消力坎</w:t>
            </w:r>
          </w:p>
        </w:tc>
        <w:tc>
          <w:tcPr>
            <w:tcW w:w="1483" w:type="dxa"/>
            <w:vMerge w:val="continue"/>
            <w:vAlign w:val="center"/>
          </w:tcPr>
          <w:p w14:paraId="45C0D5AB">
            <w:pPr>
              <w:pStyle w:val="70"/>
              <w:rPr>
                <w:rFonts w:hint="eastAsia"/>
                <w:color w:val="auto"/>
                <w:lang w:eastAsia="zh-CN"/>
              </w:rPr>
            </w:pPr>
          </w:p>
        </w:tc>
        <w:tc>
          <w:tcPr>
            <w:tcW w:w="3528" w:type="dxa"/>
            <w:vAlign w:val="center"/>
          </w:tcPr>
          <w:p w14:paraId="69865283">
            <w:pPr>
              <w:pStyle w:val="70"/>
              <w:rPr>
                <w:rFonts w:hint="eastAsia"/>
                <w:color w:val="auto"/>
                <w:lang w:val="en-US" w:eastAsia="zh-CN"/>
              </w:rPr>
            </w:pPr>
            <w:r>
              <w:rPr>
                <w:rFonts w:hint="eastAsia"/>
                <w:color w:val="auto"/>
                <w:lang w:val="en-US" w:eastAsia="zh-CN"/>
              </w:rPr>
              <w:t>跌水段设置了消力坎，消力坎采用m7.5浆砌块石、1:2水泥抹面20mm厚，消力坎高度400mm，宽度400mm。</w:t>
            </w:r>
          </w:p>
        </w:tc>
        <w:tc>
          <w:tcPr>
            <w:tcW w:w="638" w:type="dxa"/>
            <w:vAlign w:val="center"/>
          </w:tcPr>
          <w:p w14:paraId="63DD4ABD">
            <w:pPr>
              <w:pStyle w:val="70"/>
              <w:rPr>
                <w:rFonts w:hint="eastAsia" w:eastAsia="宋体"/>
                <w:color w:val="auto"/>
                <w:lang w:val="en-US" w:eastAsia="zh-CN"/>
              </w:rPr>
            </w:pPr>
            <w:r>
              <w:rPr>
                <w:rFonts w:hint="eastAsia"/>
                <w:lang w:val="en-US" w:eastAsia="zh-CN"/>
              </w:rPr>
              <w:t>符合</w:t>
            </w:r>
          </w:p>
        </w:tc>
      </w:tr>
      <w:tr w14:paraId="7B803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vAlign w:val="center"/>
          </w:tcPr>
          <w:p w14:paraId="0C103AE1">
            <w:pPr>
              <w:pStyle w:val="70"/>
              <w:rPr>
                <w:rFonts w:hint="eastAsia" w:eastAsia="宋体"/>
                <w:color w:val="auto"/>
                <w:lang w:val="en-US" w:eastAsia="zh-CN"/>
              </w:rPr>
            </w:pPr>
            <w:r>
              <w:rPr>
                <w:rFonts w:hint="eastAsia"/>
                <w:color w:val="auto"/>
                <w:lang w:val="en-US" w:eastAsia="zh-CN"/>
              </w:rPr>
              <w:t>4</w:t>
            </w:r>
          </w:p>
        </w:tc>
        <w:tc>
          <w:tcPr>
            <w:tcW w:w="0" w:type="auto"/>
            <w:vAlign w:val="center"/>
          </w:tcPr>
          <w:p w14:paraId="57CAAB8D">
            <w:pPr>
              <w:pStyle w:val="70"/>
              <w:rPr>
                <w:rFonts w:hint="eastAsia"/>
                <w:color w:val="auto"/>
                <w:lang w:val="en-US" w:eastAsia="zh-CN"/>
              </w:rPr>
            </w:pPr>
            <w:r>
              <w:rPr>
                <w:rFonts w:hint="eastAsia"/>
                <w:color w:val="auto"/>
                <w:lang w:val="en-US" w:eastAsia="zh-CN"/>
              </w:rPr>
              <w:t>左岸截洪沟出口处新建消能池</w:t>
            </w:r>
          </w:p>
        </w:tc>
        <w:tc>
          <w:tcPr>
            <w:tcW w:w="1483" w:type="dxa"/>
            <w:vMerge w:val="restart"/>
            <w:vAlign w:val="center"/>
          </w:tcPr>
          <w:p w14:paraId="641641CC">
            <w:pPr>
              <w:pStyle w:val="70"/>
              <w:rPr>
                <w:color w:val="auto"/>
              </w:rPr>
            </w:pPr>
            <w:r>
              <w:rPr>
                <w:color w:val="auto"/>
              </w:rPr>
              <w:t>《</w:t>
            </w:r>
            <w:r>
              <w:rPr>
                <w:rFonts w:hint="eastAsia"/>
                <w:color w:val="auto"/>
                <w:lang w:eastAsia="zh-CN"/>
              </w:rPr>
              <w:t>元谋县大远矿业有限公司红坡铁矿选厂尾矿库闭库工程</w:t>
            </w:r>
            <w:r>
              <w:rPr>
                <w:color w:val="auto"/>
              </w:rPr>
              <w:t>安全设施设计》</w:t>
            </w:r>
          </w:p>
          <w:p w14:paraId="6CCFB717">
            <w:pPr>
              <w:pStyle w:val="70"/>
              <w:rPr>
                <w:rFonts w:hint="eastAsia"/>
                <w:color w:val="auto"/>
                <w:highlight w:val="green"/>
                <w:lang w:eastAsia="zh-CN"/>
              </w:rPr>
            </w:pPr>
            <w:r>
              <w:rPr>
                <w:rFonts w:hint="eastAsia"/>
                <w:color w:val="auto"/>
                <w:lang w:eastAsia="zh-CN"/>
              </w:rPr>
              <w:t>《元谋县大远矿业有限公司红坡铁矿选厂尾矿库</w:t>
            </w:r>
            <w:r>
              <w:rPr>
                <w:rFonts w:hint="eastAsia"/>
                <w:color w:val="auto"/>
                <w:lang w:val="en-US" w:eastAsia="zh-CN"/>
              </w:rPr>
              <w:t>闭库工程施工图</w:t>
            </w:r>
            <w:r>
              <w:rPr>
                <w:rFonts w:hint="eastAsia"/>
                <w:color w:val="auto"/>
                <w:lang w:eastAsia="zh-CN"/>
              </w:rPr>
              <w:t>》</w:t>
            </w:r>
          </w:p>
        </w:tc>
        <w:tc>
          <w:tcPr>
            <w:tcW w:w="3528" w:type="dxa"/>
            <w:vAlign w:val="center"/>
          </w:tcPr>
          <w:p w14:paraId="6A52FE7D">
            <w:pPr>
              <w:pStyle w:val="70"/>
              <w:rPr>
                <w:rFonts w:hint="eastAsia"/>
                <w:color w:val="auto"/>
                <w:lang w:val="en-US" w:eastAsia="zh-CN"/>
              </w:rPr>
            </w:pPr>
            <w:r>
              <w:rPr>
                <w:rFonts w:hint="eastAsia"/>
                <w:color w:val="auto"/>
                <w:lang w:val="en-US" w:eastAsia="zh-CN"/>
              </w:rPr>
              <w:t>截洪沟出口处新建了消能池，垫层为0.1m厚的C15素砼，结构为m7.5浆砌体（砌体厚度0.5m），1:2水泥砂浆抹面，净断面尺寸为3m*1.2m*2.4m。</w:t>
            </w:r>
          </w:p>
        </w:tc>
        <w:tc>
          <w:tcPr>
            <w:tcW w:w="638" w:type="dxa"/>
            <w:vAlign w:val="center"/>
          </w:tcPr>
          <w:p w14:paraId="5A4818E5">
            <w:pPr>
              <w:pStyle w:val="70"/>
              <w:rPr>
                <w:rFonts w:hint="eastAsia" w:eastAsia="宋体"/>
                <w:color w:val="auto"/>
                <w:lang w:val="en-US" w:eastAsia="zh-CN"/>
              </w:rPr>
            </w:pPr>
            <w:r>
              <w:rPr>
                <w:rFonts w:hint="eastAsia"/>
                <w:color w:val="auto"/>
                <w:lang w:val="en-US" w:eastAsia="zh-CN"/>
              </w:rPr>
              <w:t>符合</w:t>
            </w:r>
          </w:p>
        </w:tc>
      </w:tr>
      <w:tr w14:paraId="2C065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vAlign w:val="center"/>
          </w:tcPr>
          <w:p w14:paraId="33852339">
            <w:pPr>
              <w:pStyle w:val="70"/>
              <w:rPr>
                <w:rFonts w:hint="eastAsia" w:eastAsia="宋体"/>
                <w:color w:val="auto"/>
                <w:highlight w:val="none"/>
                <w:lang w:val="en-US" w:eastAsia="zh-CN"/>
              </w:rPr>
            </w:pPr>
            <w:r>
              <w:rPr>
                <w:rFonts w:hint="eastAsia"/>
                <w:color w:val="auto"/>
                <w:highlight w:val="none"/>
                <w:lang w:val="en-US" w:eastAsia="zh-CN"/>
              </w:rPr>
              <w:t>5</w:t>
            </w:r>
          </w:p>
        </w:tc>
        <w:tc>
          <w:tcPr>
            <w:tcW w:w="0" w:type="auto"/>
            <w:vAlign w:val="center"/>
          </w:tcPr>
          <w:p w14:paraId="3F36D149">
            <w:pPr>
              <w:pStyle w:val="70"/>
              <w:rPr>
                <w:rFonts w:hint="eastAsia" w:eastAsia="宋体"/>
                <w:color w:val="auto"/>
                <w:highlight w:val="none"/>
                <w:lang w:val="en-US" w:eastAsia="zh-CN"/>
              </w:rPr>
            </w:pPr>
            <w:r>
              <w:rPr>
                <w:rFonts w:hint="eastAsia" w:eastAsia="宋体"/>
                <w:color w:val="auto"/>
                <w:highlight w:val="none"/>
                <w:lang w:val="en-US" w:eastAsia="zh-CN"/>
              </w:rPr>
              <w:t>左岸截洪沟进水口采用直径为25</w:t>
            </w:r>
            <w:r>
              <w:rPr>
                <w:rFonts w:hint="eastAsia"/>
                <w:color w:val="auto"/>
                <w:highlight w:val="none"/>
                <w:lang w:val="en-US" w:eastAsia="zh-CN"/>
              </w:rPr>
              <w:t>mm</w:t>
            </w:r>
            <w:r>
              <w:rPr>
                <w:rFonts w:hint="eastAsia" w:eastAsia="宋体"/>
                <w:color w:val="auto"/>
                <w:highlight w:val="none"/>
                <w:lang w:val="en-US" w:eastAsia="zh-CN"/>
              </w:rPr>
              <w:t>的钢筋焊接一长度为1</w:t>
            </w:r>
            <w:r>
              <w:rPr>
                <w:rFonts w:hint="eastAsia"/>
                <w:color w:val="auto"/>
                <w:highlight w:val="none"/>
                <w:lang w:val="en-US" w:eastAsia="zh-CN"/>
              </w:rPr>
              <w:t>m</w:t>
            </w:r>
            <w:r>
              <w:rPr>
                <w:rFonts w:hint="eastAsia" w:eastAsia="宋体"/>
                <w:color w:val="auto"/>
                <w:highlight w:val="none"/>
                <w:lang w:val="en-US" w:eastAsia="zh-CN"/>
              </w:rPr>
              <w:t>，宽度与截洪沟宽度一致,高度至挡水坝坝顶面的一防堵钢筋笼。</w:t>
            </w:r>
          </w:p>
        </w:tc>
        <w:tc>
          <w:tcPr>
            <w:tcW w:w="1483" w:type="dxa"/>
            <w:vMerge w:val="continue"/>
            <w:vAlign w:val="center"/>
          </w:tcPr>
          <w:p w14:paraId="23D6FDD9">
            <w:pPr>
              <w:pStyle w:val="70"/>
              <w:rPr>
                <w:rFonts w:hint="eastAsia"/>
                <w:color w:val="auto"/>
                <w:highlight w:val="none"/>
                <w:lang w:eastAsia="zh-CN"/>
              </w:rPr>
            </w:pPr>
          </w:p>
        </w:tc>
        <w:tc>
          <w:tcPr>
            <w:tcW w:w="3528" w:type="dxa"/>
            <w:vAlign w:val="center"/>
          </w:tcPr>
          <w:p w14:paraId="7FF22DBB">
            <w:pPr>
              <w:pStyle w:val="70"/>
              <w:rPr>
                <w:rFonts w:hint="eastAsia"/>
                <w:color w:val="auto"/>
                <w:highlight w:val="none"/>
                <w:lang w:val="en-US" w:eastAsia="zh-CN"/>
              </w:rPr>
            </w:pPr>
            <w:r>
              <w:rPr>
                <w:rFonts w:hint="eastAsia"/>
                <w:color w:val="auto"/>
                <w:highlight w:val="none"/>
                <w:lang w:val="en-US" w:eastAsia="zh-CN"/>
              </w:rPr>
              <w:t>左岸截洪沟入口处设置了防堵钢筋笼，采用直径为25mm的钢筋焊接，长度为1m，宽度1.2m,高度1.2m</w:t>
            </w:r>
          </w:p>
        </w:tc>
        <w:tc>
          <w:tcPr>
            <w:tcW w:w="638" w:type="dxa"/>
            <w:vAlign w:val="center"/>
          </w:tcPr>
          <w:p w14:paraId="3F9DBD93">
            <w:pPr>
              <w:pStyle w:val="70"/>
              <w:rPr>
                <w:rFonts w:hint="eastAsia" w:eastAsia="宋体"/>
                <w:color w:val="auto"/>
                <w:highlight w:val="none"/>
                <w:lang w:val="en-US" w:eastAsia="zh-CN"/>
              </w:rPr>
            </w:pPr>
            <w:r>
              <w:rPr>
                <w:rFonts w:hint="eastAsia"/>
                <w:color w:val="auto"/>
                <w:highlight w:val="none"/>
                <w:lang w:val="en-US" w:eastAsia="zh-CN"/>
              </w:rPr>
              <w:t>符合</w:t>
            </w:r>
          </w:p>
        </w:tc>
      </w:tr>
      <w:tr w14:paraId="5B62B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vAlign w:val="center"/>
          </w:tcPr>
          <w:p w14:paraId="5B4B3638">
            <w:pPr>
              <w:pStyle w:val="70"/>
              <w:rPr>
                <w:rFonts w:hint="eastAsia" w:eastAsia="宋体"/>
                <w:color w:val="auto"/>
                <w:lang w:val="en-US" w:eastAsia="zh-CN"/>
              </w:rPr>
            </w:pPr>
            <w:r>
              <w:rPr>
                <w:rFonts w:hint="eastAsia"/>
                <w:color w:val="auto"/>
                <w:lang w:val="en-US" w:eastAsia="zh-CN"/>
              </w:rPr>
              <w:t>6</w:t>
            </w:r>
          </w:p>
        </w:tc>
        <w:tc>
          <w:tcPr>
            <w:tcW w:w="0" w:type="auto"/>
            <w:vAlign w:val="center"/>
          </w:tcPr>
          <w:p w14:paraId="65964797">
            <w:pPr>
              <w:pStyle w:val="70"/>
              <w:rPr>
                <w:rFonts w:hint="default"/>
                <w:color w:val="auto"/>
                <w:lang w:val="en-US" w:eastAsia="zh-CN"/>
              </w:rPr>
            </w:pPr>
            <w:r>
              <w:rPr>
                <w:rFonts w:hint="default"/>
                <w:color w:val="auto"/>
                <w:lang w:val="en-US" w:eastAsia="zh-CN"/>
              </w:rPr>
              <w:t>库内采用库面雨水沟和库面排水沟把库内及右岸洪水引至左岸截洪沟ZJ1-ZJ3段后排出库外。库面排水沟断面为0.8</w:t>
            </w:r>
            <w:r>
              <w:rPr>
                <w:rFonts w:hint="eastAsia"/>
                <w:color w:val="auto"/>
                <w:lang w:val="en-US" w:eastAsia="zh-CN"/>
              </w:rPr>
              <w:t>m</w:t>
            </w:r>
            <w:r>
              <w:rPr>
                <w:rFonts w:hint="default"/>
                <w:color w:val="auto"/>
                <w:lang w:val="en-US" w:eastAsia="zh-CN"/>
              </w:rPr>
              <w:t>*0.8</w:t>
            </w:r>
            <w:r>
              <w:rPr>
                <w:rFonts w:hint="eastAsia"/>
                <w:color w:val="auto"/>
                <w:lang w:val="en-US" w:eastAsia="zh-CN"/>
              </w:rPr>
              <w:t>m</w:t>
            </w:r>
            <w:r>
              <w:rPr>
                <w:rFonts w:hint="default"/>
                <w:color w:val="auto"/>
                <w:lang w:val="en-US" w:eastAsia="zh-CN"/>
              </w:rPr>
              <w:t>，砖砌结构，最小坡度1%，采用1:2水泥砂浆抹面</w:t>
            </w:r>
            <w:r>
              <w:rPr>
                <w:rFonts w:hint="eastAsia"/>
                <w:color w:val="auto"/>
                <w:lang w:val="en-US" w:eastAsia="zh-CN"/>
              </w:rPr>
              <w:t>。</w:t>
            </w:r>
          </w:p>
        </w:tc>
        <w:tc>
          <w:tcPr>
            <w:tcW w:w="1483" w:type="dxa"/>
            <w:vMerge w:val="continue"/>
            <w:vAlign w:val="center"/>
          </w:tcPr>
          <w:p w14:paraId="338742A3">
            <w:pPr>
              <w:pStyle w:val="70"/>
              <w:rPr>
                <w:color w:val="auto"/>
              </w:rPr>
            </w:pPr>
          </w:p>
        </w:tc>
        <w:tc>
          <w:tcPr>
            <w:tcW w:w="3528" w:type="dxa"/>
            <w:vAlign w:val="center"/>
          </w:tcPr>
          <w:p w14:paraId="299331B1">
            <w:pPr>
              <w:pStyle w:val="70"/>
              <w:rPr>
                <w:rFonts w:hint="eastAsia"/>
                <w:color w:val="auto"/>
                <w:lang w:val="en-US" w:eastAsia="zh-CN"/>
              </w:rPr>
            </w:pPr>
            <w:r>
              <w:rPr>
                <w:rFonts w:hint="eastAsia"/>
                <w:color w:val="auto"/>
                <w:lang w:val="en-US" w:eastAsia="zh-CN"/>
              </w:rPr>
              <w:t>新建库面排水沟239m，垫层为0.2m厚的C15素砼，结构为m5.0砖砌体（砌体厚度0.24m），1:2水泥砂浆抹面，整体坡度平均1%，净断面尺寸为0.8m*0.8m。</w:t>
            </w:r>
          </w:p>
        </w:tc>
        <w:tc>
          <w:tcPr>
            <w:tcW w:w="638" w:type="dxa"/>
            <w:vAlign w:val="center"/>
          </w:tcPr>
          <w:p w14:paraId="6DEA01F1">
            <w:pPr>
              <w:pStyle w:val="70"/>
              <w:rPr>
                <w:rFonts w:hint="eastAsia" w:eastAsia="宋体"/>
                <w:color w:val="auto"/>
                <w:lang w:val="en-US" w:eastAsia="zh-CN"/>
              </w:rPr>
            </w:pPr>
            <w:r>
              <w:rPr>
                <w:rFonts w:hint="eastAsia"/>
                <w:color w:val="auto"/>
                <w:lang w:val="en-US" w:eastAsia="zh-CN"/>
              </w:rPr>
              <w:t>符合</w:t>
            </w:r>
          </w:p>
        </w:tc>
      </w:tr>
      <w:tr w14:paraId="36035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0" w:type="auto"/>
            <w:vAlign w:val="center"/>
          </w:tcPr>
          <w:p w14:paraId="0AE00F4F">
            <w:pPr>
              <w:pStyle w:val="70"/>
              <w:rPr>
                <w:rFonts w:hint="default"/>
                <w:color w:val="auto"/>
                <w:lang w:val="en-US" w:eastAsia="zh-CN"/>
              </w:rPr>
            </w:pPr>
            <w:r>
              <w:rPr>
                <w:rFonts w:hint="eastAsia"/>
                <w:color w:val="auto"/>
                <w:lang w:val="en-US" w:eastAsia="zh-CN"/>
              </w:rPr>
              <w:t>7</w:t>
            </w:r>
          </w:p>
        </w:tc>
        <w:tc>
          <w:tcPr>
            <w:tcW w:w="0" w:type="auto"/>
            <w:vAlign w:val="center"/>
          </w:tcPr>
          <w:p w14:paraId="56D949DF">
            <w:pPr>
              <w:pStyle w:val="70"/>
              <w:ind w:firstLine="0" w:firstLineChars="0"/>
              <w:rPr>
                <w:rFonts w:hint="default" w:ascii="Times New Roman" w:hAnsi="Times New Roman" w:eastAsia="宋体" w:cs="Times New Roman"/>
                <w:snapToGrid w:val="0"/>
                <w:color w:val="auto"/>
                <w:sz w:val="21"/>
                <w:szCs w:val="28"/>
                <w:lang w:val="en-US" w:eastAsia="zh-CN" w:bidi="ar-SA"/>
              </w:rPr>
            </w:pPr>
            <w:r>
              <w:rPr>
                <w:rFonts w:hint="default"/>
                <w:lang w:val="en-US" w:eastAsia="zh-CN"/>
              </w:rPr>
              <w:t>库面雨水沟断面为0.4</w:t>
            </w:r>
            <w:r>
              <w:rPr>
                <w:rFonts w:hint="eastAsia"/>
                <w:lang w:val="en-US" w:eastAsia="zh-CN"/>
              </w:rPr>
              <w:t>m</w:t>
            </w:r>
            <w:r>
              <w:rPr>
                <w:rFonts w:hint="default"/>
                <w:lang w:val="en-US" w:eastAsia="zh-CN"/>
              </w:rPr>
              <w:t>*0.4</w:t>
            </w:r>
            <w:r>
              <w:rPr>
                <w:rFonts w:hint="eastAsia"/>
                <w:lang w:val="en-US" w:eastAsia="zh-CN"/>
              </w:rPr>
              <w:t>m</w:t>
            </w:r>
            <w:r>
              <w:rPr>
                <w:rFonts w:hint="default"/>
                <w:lang w:val="en-US" w:eastAsia="zh-CN"/>
              </w:rPr>
              <w:t>，砖砌结构，最小坡度1%，采用1:2水泥砂浆抹面</w:t>
            </w:r>
            <w:r>
              <w:rPr>
                <w:rFonts w:hint="eastAsia"/>
                <w:lang w:val="en-US" w:eastAsia="zh-CN"/>
              </w:rPr>
              <w:t>。</w:t>
            </w:r>
          </w:p>
        </w:tc>
        <w:tc>
          <w:tcPr>
            <w:tcW w:w="1483" w:type="dxa"/>
            <w:vMerge w:val="continue"/>
            <w:vAlign w:val="center"/>
          </w:tcPr>
          <w:p w14:paraId="5EC2F6EB">
            <w:pPr>
              <w:pStyle w:val="70"/>
              <w:ind w:firstLine="0" w:firstLineChars="0"/>
              <w:rPr>
                <w:rFonts w:hint="default" w:ascii="Times New Roman" w:hAnsi="Times New Roman" w:eastAsia="宋体" w:cs="Times New Roman"/>
                <w:snapToGrid w:val="0"/>
                <w:color w:val="auto"/>
                <w:sz w:val="21"/>
                <w:szCs w:val="28"/>
                <w:lang w:val="en-US" w:eastAsia="zh-CN" w:bidi="ar-SA"/>
              </w:rPr>
            </w:pPr>
          </w:p>
        </w:tc>
        <w:tc>
          <w:tcPr>
            <w:tcW w:w="3528" w:type="dxa"/>
            <w:vAlign w:val="center"/>
          </w:tcPr>
          <w:p w14:paraId="79D1B9FC">
            <w:pPr>
              <w:pStyle w:val="70"/>
              <w:ind w:firstLine="0" w:firstLineChars="0"/>
              <w:rPr>
                <w:rFonts w:hint="default" w:ascii="Times New Roman" w:hAnsi="Times New Roman" w:eastAsia="宋体" w:cs="Times New Roman"/>
                <w:snapToGrid w:val="0"/>
                <w:color w:val="auto"/>
                <w:sz w:val="21"/>
                <w:szCs w:val="28"/>
                <w:lang w:val="en-US" w:eastAsia="zh-CN" w:bidi="ar-SA"/>
              </w:rPr>
            </w:pPr>
            <w:r>
              <w:rPr>
                <w:rFonts w:hint="default" w:ascii="Times New Roman" w:hAnsi="Times New Roman" w:eastAsia="宋体" w:cs="Times New Roman"/>
                <w:snapToGrid w:val="0"/>
                <w:color w:val="auto"/>
                <w:sz w:val="21"/>
                <w:szCs w:val="28"/>
                <w:lang w:val="en-US" w:eastAsia="zh-CN" w:bidi="ar-SA"/>
              </w:rPr>
              <w:t>新建库面雨水沟1171</w:t>
            </w:r>
            <w:r>
              <w:rPr>
                <w:rFonts w:hint="eastAsia" w:cs="Times New Roman"/>
                <w:snapToGrid w:val="0"/>
                <w:color w:val="auto"/>
                <w:sz w:val="21"/>
                <w:szCs w:val="28"/>
                <w:lang w:val="en-US" w:eastAsia="zh-CN" w:bidi="ar-SA"/>
              </w:rPr>
              <w:t>m</w:t>
            </w:r>
            <w:r>
              <w:rPr>
                <w:rFonts w:hint="default" w:ascii="Times New Roman" w:hAnsi="Times New Roman" w:eastAsia="宋体" w:cs="Times New Roman"/>
                <w:snapToGrid w:val="0"/>
                <w:color w:val="auto"/>
                <w:sz w:val="21"/>
                <w:szCs w:val="28"/>
                <w:lang w:val="en-US" w:eastAsia="zh-CN" w:bidi="ar-SA"/>
              </w:rPr>
              <w:t>，垫层为0.15</w:t>
            </w:r>
            <w:r>
              <w:rPr>
                <w:rFonts w:hint="eastAsia" w:cs="Times New Roman"/>
                <w:snapToGrid w:val="0"/>
                <w:color w:val="auto"/>
                <w:sz w:val="21"/>
                <w:szCs w:val="28"/>
                <w:lang w:val="en-US" w:eastAsia="zh-CN" w:bidi="ar-SA"/>
              </w:rPr>
              <w:t>m</w:t>
            </w:r>
            <w:r>
              <w:rPr>
                <w:rFonts w:hint="default" w:ascii="Times New Roman" w:hAnsi="Times New Roman" w:eastAsia="宋体" w:cs="Times New Roman"/>
                <w:snapToGrid w:val="0"/>
                <w:color w:val="auto"/>
                <w:sz w:val="21"/>
                <w:szCs w:val="28"/>
                <w:lang w:val="en-US" w:eastAsia="zh-CN" w:bidi="ar-SA"/>
              </w:rPr>
              <w:t>的C15素砼，结构为</w:t>
            </w:r>
            <w:r>
              <w:rPr>
                <w:rFonts w:hint="eastAsia" w:cs="Times New Roman"/>
                <w:snapToGrid w:val="0"/>
                <w:color w:val="auto"/>
                <w:sz w:val="21"/>
                <w:szCs w:val="28"/>
                <w:lang w:val="en-US" w:eastAsia="zh-CN" w:bidi="ar-SA"/>
              </w:rPr>
              <w:t>m</w:t>
            </w:r>
            <w:r>
              <w:rPr>
                <w:rFonts w:hint="default" w:ascii="Times New Roman" w:hAnsi="Times New Roman" w:eastAsia="宋体" w:cs="Times New Roman"/>
                <w:snapToGrid w:val="0"/>
                <w:color w:val="auto"/>
                <w:sz w:val="21"/>
                <w:szCs w:val="28"/>
                <w:lang w:val="en-US" w:eastAsia="zh-CN" w:bidi="ar-SA"/>
              </w:rPr>
              <w:t>5.0砖砌体（砌体厚度0.24</w:t>
            </w:r>
            <w:r>
              <w:rPr>
                <w:rFonts w:hint="eastAsia" w:cs="Times New Roman"/>
                <w:snapToGrid w:val="0"/>
                <w:color w:val="auto"/>
                <w:sz w:val="21"/>
                <w:szCs w:val="28"/>
                <w:lang w:val="en-US" w:eastAsia="zh-CN" w:bidi="ar-SA"/>
              </w:rPr>
              <w:t>m</w:t>
            </w:r>
            <w:r>
              <w:rPr>
                <w:rFonts w:hint="default" w:ascii="Times New Roman" w:hAnsi="Times New Roman" w:eastAsia="宋体" w:cs="Times New Roman"/>
                <w:snapToGrid w:val="0"/>
                <w:color w:val="auto"/>
                <w:sz w:val="21"/>
                <w:szCs w:val="28"/>
                <w:lang w:val="en-US" w:eastAsia="zh-CN" w:bidi="ar-SA"/>
              </w:rPr>
              <w:t>），1:2水泥砂浆抹面，整体坡度平均1%，净断面尺寸为0.8</w:t>
            </w:r>
            <w:r>
              <w:rPr>
                <w:rFonts w:hint="eastAsia" w:cs="Times New Roman"/>
                <w:snapToGrid w:val="0"/>
                <w:color w:val="auto"/>
                <w:sz w:val="21"/>
                <w:szCs w:val="28"/>
                <w:lang w:val="en-US" w:eastAsia="zh-CN" w:bidi="ar-SA"/>
              </w:rPr>
              <w:t>m</w:t>
            </w:r>
            <w:r>
              <w:rPr>
                <w:rFonts w:hint="default" w:ascii="Times New Roman" w:hAnsi="Times New Roman" w:eastAsia="宋体" w:cs="Times New Roman"/>
                <w:snapToGrid w:val="0"/>
                <w:color w:val="auto"/>
                <w:sz w:val="21"/>
                <w:szCs w:val="28"/>
                <w:lang w:val="en-US" w:eastAsia="zh-CN" w:bidi="ar-SA"/>
              </w:rPr>
              <w:t>*0.8</w:t>
            </w:r>
            <w:r>
              <w:rPr>
                <w:rFonts w:hint="eastAsia" w:cs="Times New Roman"/>
                <w:snapToGrid w:val="0"/>
                <w:color w:val="auto"/>
                <w:sz w:val="21"/>
                <w:szCs w:val="28"/>
                <w:lang w:val="en-US" w:eastAsia="zh-CN" w:bidi="ar-SA"/>
              </w:rPr>
              <w:t>m。</w:t>
            </w:r>
          </w:p>
        </w:tc>
        <w:tc>
          <w:tcPr>
            <w:tcW w:w="638" w:type="dxa"/>
            <w:vAlign w:val="center"/>
          </w:tcPr>
          <w:p w14:paraId="4FF2AFA0">
            <w:pPr>
              <w:pStyle w:val="70"/>
              <w:ind w:firstLine="0" w:firstLineChars="0"/>
              <w:rPr>
                <w:rFonts w:hint="default" w:ascii="Times New Roman" w:hAnsi="Times New Roman" w:eastAsia="宋体" w:cs="Times New Roman"/>
                <w:snapToGrid w:val="0"/>
                <w:color w:val="auto"/>
                <w:sz w:val="21"/>
                <w:szCs w:val="28"/>
                <w:lang w:val="en-US" w:eastAsia="zh-CN" w:bidi="ar-SA"/>
              </w:rPr>
            </w:pPr>
            <w:r>
              <w:rPr>
                <w:rFonts w:hint="eastAsia"/>
                <w:color w:val="auto"/>
                <w:lang w:val="en-US" w:eastAsia="zh-CN"/>
              </w:rPr>
              <w:t>符合</w:t>
            </w:r>
          </w:p>
        </w:tc>
      </w:tr>
      <w:tr w14:paraId="0C2BC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vAlign w:val="center"/>
          </w:tcPr>
          <w:p w14:paraId="326F3156">
            <w:pPr>
              <w:pStyle w:val="70"/>
              <w:rPr>
                <w:rFonts w:hint="default"/>
                <w:color w:val="auto"/>
                <w:lang w:val="en-US" w:eastAsia="zh-CN"/>
              </w:rPr>
            </w:pPr>
            <w:r>
              <w:rPr>
                <w:rFonts w:hint="eastAsia"/>
                <w:color w:val="auto"/>
                <w:lang w:val="en-US" w:eastAsia="zh-CN"/>
              </w:rPr>
              <w:t>8</w:t>
            </w:r>
          </w:p>
        </w:tc>
        <w:tc>
          <w:tcPr>
            <w:tcW w:w="0" w:type="auto"/>
            <w:vAlign w:val="center"/>
          </w:tcPr>
          <w:p w14:paraId="05B151A2">
            <w:pPr>
              <w:pStyle w:val="70"/>
              <w:ind w:firstLine="0" w:firstLineChars="0"/>
              <w:rPr>
                <w:rFonts w:hint="default" w:ascii="Times New Roman" w:hAnsi="Times New Roman" w:eastAsia="宋体" w:cs="Times New Roman"/>
                <w:snapToGrid w:val="0"/>
                <w:color w:val="auto"/>
                <w:sz w:val="21"/>
                <w:szCs w:val="28"/>
                <w:lang w:val="en-US" w:eastAsia="zh-CN" w:bidi="ar-SA"/>
              </w:rPr>
            </w:pPr>
            <w:r>
              <w:rPr>
                <w:rFonts w:hint="default"/>
                <w:lang w:val="en-US" w:eastAsia="zh-CN"/>
              </w:rPr>
              <w:t>疏通及修缮坝面排水沟和坝肩排水沟</w:t>
            </w:r>
          </w:p>
        </w:tc>
        <w:tc>
          <w:tcPr>
            <w:tcW w:w="1483" w:type="dxa"/>
            <w:vMerge w:val="continue"/>
            <w:vAlign w:val="center"/>
          </w:tcPr>
          <w:p w14:paraId="446F6842">
            <w:pPr>
              <w:pStyle w:val="70"/>
              <w:ind w:firstLine="0" w:firstLineChars="0"/>
              <w:rPr>
                <w:rFonts w:hint="eastAsia" w:ascii="Times New Roman" w:hAnsi="Times New Roman" w:eastAsia="宋体" w:cs="Times New Roman"/>
                <w:snapToGrid w:val="0"/>
                <w:color w:val="auto"/>
                <w:sz w:val="21"/>
                <w:szCs w:val="28"/>
                <w:lang w:val="en-US" w:eastAsia="zh-CN" w:bidi="ar-SA"/>
              </w:rPr>
            </w:pPr>
          </w:p>
        </w:tc>
        <w:tc>
          <w:tcPr>
            <w:tcW w:w="3528" w:type="dxa"/>
            <w:vAlign w:val="center"/>
          </w:tcPr>
          <w:p w14:paraId="085F05C3">
            <w:pPr>
              <w:pStyle w:val="70"/>
              <w:ind w:firstLine="0" w:firstLineChars="0"/>
              <w:rPr>
                <w:rFonts w:hint="default" w:ascii="Times New Roman" w:hAnsi="Times New Roman" w:eastAsia="宋体" w:cs="Times New Roman"/>
                <w:snapToGrid w:val="0"/>
                <w:color w:val="auto"/>
                <w:sz w:val="21"/>
                <w:szCs w:val="28"/>
                <w:lang w:val="en-US" w:eastAsia="zh-CN" w:bidi="ar-SA"/>
              </w:rPr>
            </w:pPr>
            <w:r>
              <w:rPr>
                <w:rFonts w:hint="eastAsia"/>
                <w:lang w:val="en-US" w:eastAsia="zh-CN"/>
              </w:rPr>
              <w:t>对堆积坝上的排水沟及坝肩沟进行了</w:t>
            </w:r>
            <w:r>
              <w:rPr>
                <w:rFonts w:hint="default"/>
                <w:lang w:val="en-US" w:eastAsia="zh-CN"/>
              </w:rPr>
              <w:t>疏通</w:t>
            </w:r>
            <w:r>
              <w:rPr>
                <w:rFonts w:hint="eastAsia"/>
                <w:lang w:val="en-US" w:eastAsia="zh-CN"/>
              </w:rPr>
              <w:t>、</w:t>
            </w:r>
            <w:r>
              <w:rPr>
                <w:rFonts w:hint="default"/>
                <w:lang w:val="en-US" w:eastAsia="zh-CN"/>
              </w:rPr>
              <w:t>修缮</w:t>
            </w:r>
            <w:r>
              <w:rPr>
                <w:rFonts w:hint="eastAsia"/>
                <w:lang w:val="en-US" w:eastAsia="zh-CN"/>
              </w:rPr>
              <w:t>。</w:t>
            </w:r>
          </w:p>
        </w:tc>
        <w:tc>
          <w:tcPr>
            <w:tcW w:w="638" w:type="dxa"/>
            <w:vAlign w:val="center"/>
          </w:tcPr>
          <w:p w14:paraId="7D989CB7">
            <w:pPr>
              <w:pStyle w:val="70"/>
              <w:ind w:firstLine="0" w:firstLineChars="0"/>
              <w:rPr>
                <w:rFonts w:hint="default" w:ascii="Times New Roman" w:hAnsi="Times New Roman" w:eastAsia="宋体" w:cs="Times New Roman"/>
                <w:snapToGrid w:val="0"/>
                <w:color w:val="auto"/>
                <w:sz w:val="21"/>
                <w:szCs w:val="28"/>
                <w:lang w:val="en-US" w:eastAsia="zh-CN" w:bidi="ar-SA"/>
              </w:rPr>
            </w:pPr>
            <w:r>
              <w:rPr>
                <w:rFonts w:hint="eastAsia"/>
                <w:color w:val="auto"/>
                <w:lang w:val="en-US" w:eastAsia="zh-CN"/>
              </w:rPr>
              <w:t>符合</w:t>
            </w:r>
          </w:p>
        </w:tc>
      </w:tr>
      <w:tr w14:paraId="3E7FC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vAlign w:val="center"/>
          </w:tcPr>
          <w:p w14:paraId="70FB8240">
            <w:pPr>
              <w:pStyle w:val="70"/>
              <w:rPr>
                <w:rFonts w:hint="default"/>
                <w:color w:val="auto"/>
                <w:lang w:val="en-US" w:eastAsia="zh-CN"/>
              </w:rPr>
            </w:pPr>
            <w:r>
              <w:rPr>
                <w:rFonts w:hint="eastAsia"/>
                <w:color w:val="auto"/>
                <w:lang w:val="en-US" w:eastAsia="zh-CN"/>
              </w:rPr>
              <w:t>9</w:t>
            </w:r>
          </w:p>
        </w:tc>
        <w:tc>
          <w:tcPr>
            <w:tcW w:w="0" w:type="auto"/>
            <w:vAlign w:val="center"/>
          </w:tcPr>
          <w:p w14:paraId="359D4EA4">
            <w:pPr>
              <w:pStyle w:val="70"/>
              <w:ind w:firstLine="0" w:firstLineChars="0"/>
              <w:rPr>
                <w:rFonts w:hint="eastAsia" w:ascii="Times New Roman" w:hAnsi="Times New Roman" w:eastAsia="宋体" w:cs="Times New Roman"/>
                <w:snapToGrid w:val="0"/>
                <w:color w:val="auto"/>
                <w:sz w:val="21"/>
                <w:szCs w:val="28"/>
                <w:lang w:val="en-US" w:eastAsia="zh-CN" w:bidi="ar-SA"/>
              </w:rPr>
            </w:pPr>
            <w:r>
              <w:rPr>
                <w:rFonts w:hint="default"/>
                <w:lang w:val="en-US" w:eastAsia="zh-CN"/>
              </w:rPr>
              <w:t>对库内排水斜槽进口和排水暗涵出口采用C25混凝土封堵（进出口封堵长度5</w:t>
            </w:r>
            <w:r>
              <w:rPr>
                <w:rFonts w:hint="eastAsia"/>
                <w:lang w:val="en-US" w:eastAsia="zh-CN"/>
              </w:rPr>
              <w:t>m</w:t>
            </w:r>
            <w:r>
              <w:rPr>
                <w:rFonts w:hint="default"/>
                <w:lang w:val="en-US" w:eastAsia="zh-CN"/>
              </w:rPr>
              <w:t>）</w:t>
            </w:r>
          </w:p>
        </w:tc>
        <w:tc>
          <w:tcPr>
            <w:tcW w:w="1483" w:type="dxa"/>
            <w:vMerge w:val="continue"/>
            <w:vAlign w:val="center"/>
          </w:tcPr>
          <w:p w14:paraId="6672F152">
            <w:pPr>
              <w:pStyle w:val="70"/>
              <w:ind w:firstLine="0" w:firstLineChars="0"/>
              <w:rPr>
                <w:rFonts w:hint="eastAsia" w:ascii="Times New Roman" w:hAnsi="Times New Roman" w:eastAsia="宋体" w:cs="Times New Roman"/>
                <w:snapToGrid w:val="0"/>
                <w:color w:val="auto"/>
                <w:sz w:val="21"/>
                <w:szCs w:val="28"/>
                <w:lang w:val="en-US" w:eastAsia="zh-CN" w:bidi="ar-SA"/>
              </w:rPr>
            </w:pPr>
          </w:p>
        </w:tc>
        <w:tc>
          <w:tcPr>
            <w:tcW w:w="3528" w:type="dxa"/>
            <w:vAlign w:val="center"/>
          </w:tcPr>
          <w:p w14:paraId="4B87E6A9">
            <w:pPr>
              <w:pStyle w:val="70"/>
              <w:ind w:firstLine="0" w:firstLineChars="0"/>
              <w:rPr>
                <w:rFonts w:hint="eastAsia" w:ascii="Times New Roman" w:hAnsi="Times New Roman" w:eastAsia="宋体" w:cs="Times New Roman"/>
                <w:snapToGrid w:val="0"/>
                <w:color w:val="auto"/>
                <w:sz w:val="21"/>
                <w:szCs w:val="28"/>
                <w:lang w:val="en-US" w:eastAsia="zh-CN" w:bidi="ar-SA"/>
              </w:rPr>
            </w:pPr>
            <w:r>
              <w:rPr>
                <w:rFonts w:hint="eastAsia" w:ascii="Times New Roman" w:hAnsi="Times New Roman" w:eastAsia="宋体" w:cs="Times New Roman"/>
                <w:snapToGrid w:val="0"/>
                <w:color w:val="auto"/>
                <w:sz w:val="21"/>
                <w:szCs w:val="28"/>
                <w:lang w:val="en-US" w:eastAsia="zh-CN" w:bidi="ar-SA"/>
              </w:rPr>
              <w:t>对库内排水斜槽进口5</w:t>
            </w:r>
            <w:r>
              <w:rPr>
                <w:rFonts w:hint="eastAsia" w:cs="Times New Roman"/>
                <w:snapToGrid w:val="0"/>
                <w:color w:val="auto"/>
                <w:sz w:val="21"/>
                <w:szCs w:val="28"/>
                <w:lang w:val="en-US" w:eastAsia="zh-CN" w:bidi="ar-SA"/>
              </w:rPr>
              <w:t>m</w:t>
            </w:r>
            <w:r>
              <w:rPr>
                <w:rFonts w:hint="eastAsia" w:ascii="Times New Roman" w:hAnsi="Times New Roman" w:eastAsia="宋体" w:cs="Times New Roman"/>
                <w:snapToGrid w:val="0"/>
                <w:color w:val="auto"/>
                <w:sz w:val="21"/>
                <w:szCs w:val="28"/>
                <w:lang w:val="en-US" w:eastAsia="zh-CN" w:bidi="ar-SA"/>
              </w:rPr>
              <w:t>采用C25混凝土进行了封堵，对排水暗涵出口5</w:t>
            </w:r>
            <w:r>
              <w:rPr>
                <w:rFonts w:hint="eastAsia" w:cs="Times New Roman"/>
                <w:snapToGrid w:val="0"/>
                <w:color w:val="auto"/>
                <w:sz w:val="21"/>
                <w:szCs w:val="28"/>
                <w:lang w:val="en-US" w:eastAsia="zh-CN" w:bidi="ar-SA"/>
              </w:rPr>
              <w:t>m</w:t>
            </w:r>
            <w:r>
              <w:rPr>
                <w:rFonts w:hint="eastAsia" w:ascii="Times New Roman" w:hAnsi="Times New Roman" w:eastAsia="宋体" w:cs="Times New Roman"/>
                <w:snapToGrid w:val="0"/>
                <w:color w:val="auto"/>
                <w:sz w:val="21"/>
                <w:szCs w:val="28"/>
                <w:lang w:val="en-US" w:eastAsia="zh-CN" w:bidi="ar-SA"/>
              </w:rPr>
              <w:t>采用C25混凝土进行了封堵</w:t>
            </w:r>
            <w:r>
              <w:rPr>
                <w:rFonts w:hint="eastAsia" w:cs="Times New Roman"/>
                <w:snapToGrid w:val="0"/>
                <w:color w:val="auto"/>
                <w:sz w:val="21"/>
                <w:szCs w:val="28"/>
                <w:lang w:val="en-US" w:eastAsia="zh-CN" w:bidi="ar-SA"/>
              </w:rPr>
              <w:t>。</w:t>
            </w:r>
          </w:p>
        </w:tc>
        <w:tc>
          <w:tcPr>
            <w:tcW w:w="638" w:type="dxa"/>
            <w:vAlign w:val="center"/>
          </w:tcPr>
          <w:p w14:paraId="55BA2C4F">
            <w:pPr>
              <w:pStyle w:val="70"/>
              <w:ind w:firstLine="0" w:firstLineChars="0"/>
              <w:rPr>
                <w:rFonts w:hint="default" w:ascii="Times New Roman" w:hAnsi="Times New Roman" w:eastAsia="宋体" w:cs="Times New Roman"/>
                <w:snapToGrid w:val="0"/>
                <w:color w:val="auto"/>
                <w:sz w:val="21"/>
                <w:szCs w:val="28"/>
                <w:lang w:val="en-US" w:eastAsia="zh-CN" w:bidi="ar-SA"/>
              </w:rPr>
            </w:pPr>
            <w:r>
              <w:rPr>
                <w:rFonts w:hint="eastAsia"/>
                <w:color w:val="auto"/>
                <w:lang w:val="en-US" w:eastAsia="zh-CN"/>
              </w:rPr>
              <w:t>符合</w:t>
            </w:r>
          </w:p>
        </w:tc>
      </w:tr>
    </w:tbl>
    <w:p w14:paraId="4998B5ED">
      <w:pPr>
        <w:pStyle w:val="5"/>
        <w:bidi w:val="0"/>
        <w:rPr>
          <w:color w:val="auto"/>
        </w:rPr>
      </w:pPr>
      <w:bookmarkStart w:id="480" w:name="_Toc17276"/>
      <w:bookmarkStart w:id="481" w:name="_Toc7475"/>
      <w:r>
        <w:rPr>
          <w:rFonts w:hint="eastAsia"/>
          <w:color w:val="auto"/>
          <w:lang w:eastAsia="zh-CN"/>
        </w:rPr>
        <w:t>防洪演算</w:t>
      </w:r>
      <w:bookmarkEnd w:id="480"/>
    </w:p>
    <w:p w14:paraId="6265DFDC">
      <w:pPr>
        <w:pStyle w:val="6"/>
        <w:outlineLvl w:val="3"/>
        <w:rPr>
          <w:color w:val="auto"/>
        </w:rPr>
      </w:pPr>
      <w:r>
        <w:rPr>
          <w:color w:val="auto"/>
        </w:rPr>
        <w:t>防洪标准</w:t>
      </w:r>
    </w:p>
    <w:p w14:paraId="67DC9062">
      <w:pPr>
        <w:ind w:firstLine="560"/>
        <w:rPr>
          <w:rFonts w:hint="eastAsia" w:ascii="Times New Roman" w:hAnsi="Times New Roman" w:eastAsia="宋体" w:cs="Times New Roman"/>
          <w:snapToGrid w:val="0"/>
          <w:color w:val="auto"/>
          <w:sz w:val="28"/>
          <w:szCs w:val="28"/>
          <w:lang w:val="en-US" w:eastAsia="zh-CN" w:bidi="ar-SA"/>
        </w:rPr>
      </w:pPr>
      <w:r>
        <w:rPr>
          <w:rFonts w:hint="eastAsia" w:ascii="Times New Roman" w:hAnsi="Times New Roman" w:eastAsia="宋体" w:cs="Times New Roman"/>
          <w:snapToGrid w:val="0"/>
          <w:color w:val="auto"/>
          <w:sz w:val="28"/>
          <w:szCs w:val="28"/>
          <w:lang w:val="en-US" w:eastAsia="zh-CN" w:bidi="ar-SA"/>
        </w:rPr>
        <w:t>按《尾矿设施设计规范》(GB50863-2013)，尾矿库</w:t>
      </w:r>
      <w:r>
        <w:rPr>
          <w:rFonts w:hint="eastAsia" w:cs="Times New Roman"/>
          <w:snapToGrid w:val="0"/>
          <w:color w:val="auto"/>
          <w:sz w:val="28"/>
          <w:szCs w:val="28"/>
          <w:lang w:val="en-US" w:eastAsia="zh-CN" w:bidi="ar-SA"/>
        </w:rPr>
        <w:t>闭库工程施工后现状</w:t>
      </w:r>
      <w:r>
        <w:rPr>
          <w:rFonts w:hint="eastAsia" w:ascii="Times New Roman" w:hAnsi="Times New Roman" w:eastAsia="宋体" w:cs="Times New Roman"/>
          <w:snapToGrid w:val="0"/>
          <w:color w:val="auto"/>
          <w:sz w:val="28"/>
          <w:szCs w:val="28"/>
          <w:lang w:val="en-US" w:eastAsia="zh-CN" w:bidi="ar-SA"/>
        </w:rPr>
        <w:t>总坝高为</w:t>
      </w:r>
      <w:r>
        <w:rPr>
          <w:rFonts w:hint="eastAsia" w:cs="Times New Roman"/>
          <w:snapToGrid w:val="0"/>
          <w:color w:val="auto"/>
          <w:sz w:val="28"/>
          <w:szCs w:val="28"/>
          <w:lang w:val="en-US" w:eastAsia="zh-CN" w:bidi="ar-SA"/>
        </w:rPr>
        <w:t>39m</w:t>
      </w:r>
      <w:r>
        <w:rPr>
          <w:rFonts w:hint="eastAsia" w:ascii="Times New Roman" w:hAnsi="Times New Roman" w:eastAsia="宋体" w:cs="Times New Roman"/>
          <w:snapToGrid w:val="0"/>
          <w:color w:val="auto"/>
          <w:sz w:val="28"/>
          <w:szCs w:val="28"/>
          <w:lang w:val="en-US" w:eastAsia="zh-CN" w:bidi="ar-SA"/>
        </w:rPr>
        <w:t>，总库容核算后为</w:t>
      </w:r>
      <w:r>
        <w:rPr>
          <w:rFonts w:hint="eastAsia" w:cs="Times New Roman"/>
          <w:snapToGrid w:val="0"/>
          <w:color w:val="auto"/>
          <w:sz w:val="28"/>
          <w:szCs w:val="28"/>
          <w:lang w:val="en-US" w:eastAsia="zh-CN" w:bidi="ar-SA"/>
        </w:rPr>
        <w:t>83</w:t>
      </w:r>
      <w:r>
        <w:rPr>
          <w:rFonts w:hint="eastAsia" w:ascii="Times New Roman" w:hAnsi="Times New Roman" w:eastAsia="宋体" w:cs="Times New Roman"/>
          <w:snapToGrid w:val="0"/>
          <w:color w:val="auto"/>
          <w:sz w:val="28"/>
          <w:szCs w:val="28"/>
          <w:lang w:val="en-US" w:eastAsia="zh-CN" w:bidi="ar-SA"/>
        </w:rPr>
        <w:t>万</w:t>
      </w:r>
      <w:r>
        <w:rPr>
          <w:rFonts w:hint="eastAsia" w:cs="Times New Roman"/>
          <w:snapToGrid w:val="0"/>
          <w:color w:val="auto"/>
          <w:sz w:val="28"/>
          <w:szCs w:val="28"/>
          <w:vertAlign w:val="baseline"/>
          <w:lang w:val="en-US" w:eastAsia="zh-CN" w:bidi="ar-SA"/>
        </w:rPr>
        <w:t>m</w:t>
      </w:r>
      <w:r>
        <w:rPr>
          <w:rFonts w:hint="eastAsia" w:cs="Times New Roman"/>
          <w:snapToGrid w:val="0"/>
          <w:color w:val="auto"/>
          <w:sz w:val="28"/>
          <w:szCs w:val="28"/>
          <w:vertAlign w:val="superscript"/>
          <w:lang w:val="en-US" w:eastAsia="zh-CN" w:bidi="ar-SA"/>
        </w:rPr>
        <w:t>3</w:t>
      </w:r>
      <w:r>
        <w:rPr>
          <w:rFonts w:hint="eastAsia" w:ascii="Times New Roman" w:hAnsi="Times New Roman" w:eastAsia="宋体" w:cs="Times New Roman"/>
          <w:snapToGrid w:val="0"/>
          <w:color w:val="auto"/>
          <w:sz w:val="28"/>
          <w:szCs w:val="28"/>
          <w:lang w:val="en-US" w:eastAsia="zh-CN" w:bidi="ar-SA"/>
        </w:rPr>
        <w:t>，尾矿库为</w:t>
      </w:r>
      <w:r>
        <w:rPr>
          <w:rFonts w:hint="eastAsia" w:cs="Times New Roman"/>
          <w:snapToGrid w:val="0"/>
          <w:color w:val="auto"/>
          <w:sz w:val="28"/>
          <w:szCs w:val="28"/>
          <w:lang w:val="en-US" w:eastAsia="zh-CN" w:bidi="ar-SA"/>
        </w:rPr>
        <w:t>四</w:t>
      </w:r>
      <w:r>
        <w:rPr>
          <w:rFonts w:hint="eastAsia" w:ascii="Times New Roman" w:hAnsi="Times New Roman" w:eastAsia="宋体" w:cs="Times New Roman"/>
          <w:snapToGrid w:val="0"/>
          <w:color w:val="auto"/>
          <w:sz w:val="28"/>
          <w:szCs w:val="28"/>
          <w:lang w:val="en-US" w:eastAsia="zh-CN" w:bidi="ar-SA"/>
        </w:rPr>
        <w:t>等库，闭库工程防洪标准统一采用</w:t>
      </w:r>
      <w:r>
        <w:rPr>
          <w:rFonts w:hint="eastAsia" w:cs="Times New Roman"/>
          <w:snapToGrid w:val="0"/>
          <w:color w:val="auto"/>
          <w:sz w:val="28"/>
          <w:szCs w:val="28"/>
          <w:lang w:val="en-US" w:eastAsia="zh-CN" w:bidi="ar-SA"/>
        </w:rPr>
        <w:t>2</w:t>
      </w:r>
      <w:r>
        <w:rPr>
          <w:rFonts w:hint="eastAsia" w:ascii="Times New Roman" w:hAnsi="Times New Roman" w:eastAsia="宋体" w:cs="Times New Roman"/>
          <w:snapToGrid w:val="0"/>
          <w:color w:val="auto"/>
          <w:sz w:val="28"/>
          <w:szCs w:val="28"/>
          <w:lang w:val="en-US" w:eastAsia="zh-CN" w:bidi="ar-SA"/>
        </w:rPr>
        <w:t>00年洪水重现期，进行现状闭库。本工程设计标准：</w:t>
      </w:r>
      <w:r>
        <w:rPr>
          <w:rFonts w:hint="eastAsia" w:cs="Times New Roman"/>
          <w:snapToGrid w:val="0"/>
          <w:color w:val="auto"/>
          <w:sz w:val="28"/>
          <w:szCs w:val="28"/>
          <w:lang w:val="en-US" w:eastAsia="zh-CN" w:bidi="ar-SA"/>
        </w:rPr>
        <w:t>20</w:t>
      </w:r>
      <w:r>
        <w:rPr>
          <w:rFonts w:hint="eastAsia" w:ascii="Times New Roman" w:hAnsi="Times New Roman" w:eastAsia="宋体" w:cs="Times New Roman"/>
          <w:snapToGrid w:val="0"/>
          <w:color w:val="auto"/>
          <w:sz w:val="28"/>
          <w:szCs w:val="28"/>
          <w:lang w:val="en-US" w:eastAsia="zh-CN" w:bidi="ar-SA"/>
        </w:rPr>
        <w:t>0年一遇；防洪标准：</w:t>
      </w:r>
      <w:r>
        <w:rPr>
          <w:rFonts w:hint="eastAsia" w:cs="Times New Roman"/>
          <w:snapToGrid w:val="0"/>
          <w:color w:val="auto"/>
          <w:sz w:val="28"/>
          <w:szCs w:val="28"/>
          <w:lang w:val="en-US" w:eastAsia="zh-CN" w:bidi="ar-SA"/>
        </w:rPr>
        <w:t>2</w:t>
      </w:r>
      <w:r>
        <w:rPr>
          <w:rFonts w:hint="eastAsia" w:ascii="Times New Roman" w:hAnsi="Times New Roman" w:eastAsia="宋体" w:cs="Times New Roman"/>
          <w:snapToGrid w:val="0"/>
          <w:color w:val="auto"/>
          <w:sz w:val="28"/>
          <w:szCs w:val="28"/>
          <w:lang w:val="en-US" w:eastAsia="zh-CN" w:bidi="ar-SA"/>
        </w:rPr>
        <w:t>00年一遇。</w:t>
      </w:r>
    </w:p>
    <w:p w14:paraId="56C26D21">
      <w:pPr>
        <w:pStyle w:val="6"/>
        <w:bidi w:val="0"/>
        <w:rPr>
          <w:color w:val="auto"/>
        </w:rPr>
      </w:pPr>
      <w:r>
        <w:rPr>
          <w:color w:val="auto"/>
        </w:rPr>
        <w:t>洪水计算</w:t>
      </w:r>
    </w:p>
    <w:p w14:paraId="5360D5CF">
      <w:pPr>
        <w:rPr>
          <w:rFonts w:hint="default" w:eastAsia="宋体"/>
          <w:lang w:val="en-US" w:eastAsia="zh-CN"/>
        </w:rPr>
      </w:pPr>
      <w:r>
        <w:rPr>
          <w:rFonts w:hint="eastAsia"/>
          <w:lang w:val="en-US" w:eastAsia="zh-CN"/>
        </w:rPr>
        <w:t>洪水计算见本报告2.5.2.2。</w:t>
      </w:r>
    </w:p>
    <w:p w14:paraId="7B31C7DC">
      <w:pPr>
        <w:pStyle w:val="6"/>
        <w:outlineLvl w:val="3"/>
        <w:rPr>
          <w:color w:val="auto"/>
        </w:rPr>
      </w:pPr>
      <w:r>
        <w:rPr>
          <w:color w:val="auto"/>
        </w:rPr>
        <w:t>排洪</w:t>
      </w:r>
      <w:r>
        <w:rPr>
          <w:rFonts w:hint="eastAsia"/>
          <w:color w:val="auto"/>
          <w:lang w:val="en-US" w:eastAsia="zh-CN"/>
        </w:rPr>
        <w:t>系统能力演算</w:t>
      </w:r>
    </w:p>
    <w:p w14:paraId="2071F259">
      <w:pPr>
        <w:adjustRightInd w:val="0"/>
        <w:snapToGrid w:val="0"/>
        <w:ind w:firstLine="560"/>
        <w:rPr>
          <w:rFonts w:hint="default"/>
          <w:color w:val="auto"/>
          <w:sz w:val="28"/>
          <w:szCs w:val="28"/>
          <w:lang w:val="en-US" w:eastAsia="zh-CN"/>
        </w:rPr>
      </w:pPr>
      <w:r>
        <w:rPr>
          <w:rFonts w:hint="eastAsia"/>
          <w:color w:val="auto"/>
          <w:sz w:val="28"/>
          <w:szCs w:val="28"/>
          <w:lang w:val="en-US" w:eastAsia="zh-CN"/>
        </w:rPr>
        <w:t>1、左岸截洪沟排洪能力校核</w:t>
      </w:r>
    </w:p>
    <w:p w14:paraId="3BC73CCB">
      <w:pPr>
        <w:adjustRightInd w:val="0"/>
        <w:snapToGrid w:val="0"/>
        <w:ind w:firstLine="560"/>
        <w:rPr>
          <w:rFonts w:hint="default"/>
          <w:color w:val="auto"/>
          <w:sz w:val="28"/>
          <w:szCs w:val="28"/>
          <w:lang w:val="en-US" w:eastAsia="zh-CN"/>
        </w:rPr>
      </w:pPr>
      <w:r>
        <w:rPr>
          <w:rFonts w:hint="default"/>
          <w:color w:val="auto"/>
          <w:sz w:val="28"/>
          <w:szCs w:val="28"/>
          <w:lang w:val="en-US" w:eastAsia="zh-CN"/>
        </w:rPr>
        <w:t>新修左岸截洪沟为矩形断面，断面为：1.2</w:t>
      </w:r>
      <w:r>
        <w:rPr>
          <w:rFonts w:hint="eastAsia"/>
          <w:color w:val="auto"/>
          <w:sz w:val="28"/>
          <w:szCs w:val="28"/>
          <w:lang w:val="en-US" w:eastAsia="zh-CN"/>
        </w:rPr>
        <w:t>m</w:t>
      </w:r>
      <w:r>
        <w:rPr>
          <w:rFonts w:hint="default"/>
          <w:color w:val="auto"/>
          <w:sz w:val="28"/>
          <w:szCs w:val="28"/>
          <w:lang w:val="en-US" w:eastAsia="zh-CN"/>
        </w:rPr>
        <w:t>*1.2</w:t>
      </w:r>
      <w:r>
        <w:rPr>
          <w:rFonts w:hint="eastAsia"/>
          <w:color w:val="auto"/>
          <w:sz w:val="28"/>
          <w:szCs w:val="28"/>
          <w:lang w:val="en-US" w:eastAsia="zh-CN"/>
        </w:rPr>
        <w:t>m</w:t>
      </w:r>
      <w:r>
        <w:rPr>
          <w:rFonts w:hint="default"/>
          <w:color w:val="auto"/>
          <w:sz w:val="28"/>
          <w:szCs w:val="28"/>
          <w:lang w:val="en-US" w:eastAsia="zh-CN"/>
        </w:rPr>
        <w:t>，为</w:t>
      </w:r>
      <w:r>
        <w:rPr>
          <w:rFonts w:hint="eastAsia"/>
          <w:color w:val="auto"/>
          <w:sz w:val="28"/>
          <w:szCs w:val="28"/>
          <w:lang w:val="en-US" w:eastAsia="zh-CN"/>
        </w:rPr>
        <w:t>m</w:t>
      </w:r>
      <w:r>
        <w:rPr>
          <w:rFonts w:hint="default"/>
          <w:color w:val="auto"/>
          <w:sz w:val="28"/>
          <w:szCs w:val="28"/>
          <w:lang w:val="en-US" w:eastAsia="zh-CN"/>
        </w:rPr>
        <w:t>7.5浆砌石结构，其中ZJ1-ZJ3段修筑最小坡度为2%，ZJ3-ZJ10段修筑最小坡度为1%。</w:t>
      </w:r>
    </w:p>
    <w:p w14:paraId="4A2843B2">
      <w:pPr>
        <w:adjustRightInd w:val="0"/>
        <w:snapToGrid w:val="0"/>
        <w:ind w:firstLine="560"/>
        <w:rPr>
          <w:rFonts w:hint="default"/>
          <w:color w:val="auto"/>
          <w:sz w:val="28"/>
          <w:szCs w:val="28"/>
          <w:lang w:val="en-US" w:eastAsia="zh-CN"/>
        </w:rPr>
      </w:pPr>
      <w:r>
        <w:rPr>
          <w:rFonts w:hint="default"/>
          <w:color w:val="auto"/>
          <w:sz w:val="28"/>
          <w:szCs w:val="28"/>
          <w:lang w:val="en-US" w:eastAsia="zh-CN"/>
        </w:rPr>
        <w:t>左岸截洪沟水力计算根据以下公式计算自然状态下的过水流量（取安全超高0.3</w:t>
      </w:r>
      <w:r>
        <w:rPr>
          <w:rFonts w:hint="eastAsia"/>
          <w:color w:val="auto"/>
          <w:sz w:val="28"/>
          <w:szCs w:val="28"/>
          <w:lang w:val="en-US" w:eastAsia="zh-CN"/>
        </w:rPr>
        <w:t>m</w:t>
      </w:r>
      <w:r>
        <w:rPr>
          <w:rFonts w:hint="default"/>
          <w:color w:val="auto"/>
          <w:sz w:val="28"/>
          <w:szCs w:val="28"/>
          <w:lang w:val="en-US" w:eastAsia="zh-CN"/>
        </w:rPr>
        <w:t>），安全验算如下：</w:t>
      </w:r>
    </w:p>
    <w:p w14:paraId="4FDBD218">
      <w:pPr>
        <w:pStyle w:val="25"/>
        <w:spacing w:before="1" w:line="384" w:lineRule="auto"/>
        <w:ind w:left="582" w:right="5557"/>
        <w:rPr>
          <w:rFonts w:ascii="Times New Roman" w:hAnsi="Times New Roman" w:eastAsia="Times New Roman" w:cs="Times New Roman"/>
          <w:spacing w:val="-12"/>
          <w:sz w:val="28"/>
          <w:szCs w:val="28"/>
          <w:u w:val="single" w:color="auto"/>
        </w:rPr>
      </w:pPr>
      <w:r>
        <w:rPr>
          <w:spacing w:val="-12"/>
          <w:sz w:val="28"/>
          <w:szCs w:val="28"/>
        </w:rPr>
        <w:t>流量公式：</w:t>
      </w:r>
      <w:r>
        <w:rPr>
          <w:rFonts w:ascii="Times New Roman" w:hAnsi="Times New Roman" w:eastAsia="Times New Roman" w:cs="Times New Roman"/>
          <w:spacing w:val="-12"/>
          <w:sz w:val="28"/>
          <w:szCs w:val="28"/>
        </w:rPr>
        <w:t>Q=</w:t>
      </w:r>
      <w:r>
        <w:rPr>
          <w:spacing w:val="-12"/>
          <w:sz w:val="28"/>
          <w:szCs w:val="28"/>
        </w:rPr>
        <w:t>ω</w:t>
      </w:r>
      <w:r>
        <w:rPr>
          <w:spacing w:val="-12"/>
          <w:sz w:val="28"/>
          <w:szCs w:val="28"/>
          <w:u w:val="single" w:color="auto"/>
        </w:rPr>
        <w:t>·</w:t>
      </w:r>
      <w:r>
        <w:rPr>
          <w:rFonts w:ascii="Times New Roman" w:hAnsi="Times New Roman" w:eastAsia="Times New Roman" w:cs="Times New Roman"/>
          <w:spacing w:val="-12"/>
          <w:sz w:val="28"/>
          <w:szCs w:val="28"/>
          <w:u w:val="single" w:color="auto"/>
        </w:rPr>
        <w:t>V</w:t>
      </w:r>
    </w:p>
    <w:p w14:paraId="40EB399B">
      <w:pPr>
        <w:pStyle w:val="25"/>
        <w:spacing w:before="1" w:line="384" w:lineRule="auto"/>
        <w:ind w:left="582" w:right="5557"/>
        <w:rPr>
          <w:rFonts w:ascii="Times New Roman" w:hAnsi="Times New Roman" w:eastAsia="Times New Roman" w:cs="Times New Roman"/>
          <w:sz w:val="23"/>
          <w:szCs w:val="23"/>
        </w:rPr>
      </w:pPr>
      <w:r>
        <w:rPr>
          <w:spacing w:val="10"/>
          <w:sz w:val="28"/>
          <w:szCs w:val="28"/>
        </w:rPr>
        <w:t>流速公式：</w:t>
      </w:r>
      <w:r>
        <w:rPr>
          <w:spacing w:val="10"/>
          <w:position w:val="1"/>
          <w:sz w:val="28"/>
          <w:szCs w:val="28"/>
        </w:rPr>
        <w:t>V=</w:t>
      </w:r>
      <w:r>
        <w:rPr>
          <w:rFonts w:ascii="Times New Roman" w:hAnsi="Times New Roman" w:eastAsia="Times New Roman" w:cs="Times New Roman"/>
          <w:i/>
          <w:iCs/>
          <w:position w:val="1"/>
          <w:sz w:val="23"/>
          <w:szCs w:val="23"/>
        </w:rPr>
        <w:t>C</w:t>
      </w:r>
      <w:r>
        <w:rPr>
          <w:position w:val="3"/>
          <w:sz w:val="23"/>
          <w:szCs w:val="23"/>
        </w:rPr>
        <w:drawing>
          <wp:inline distT="0" distB="0" distL="0" distR="0">
            <wp:extent cx="99695" cy="161290"/>
            <wp:effectExtent l="0" t="0" r="1905" b="381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r:embed="rId68"/>
                    <a:stretch>
                      <a:fillRect/>
                    </a:stretch>
                  </pic:blipFill>
                  <pic:spPr>
                    <a:xfrm>
                      <a:off x="0" y="0"/>
                      <a:ext cx="100134" cy="161594"/>
                    </a:xfrm>
                    <a:prstGeom prst="rect">
                      <a:avLst/>
                    </a:prstGeom>
                  </pic:spPr>
                </pic:pic>
              </a:graphicData>
            </a:graphic>
          </wp:inline>
        </w:drawing>
      </w:r>
      <w:r>
        <w:rPr>
          <w:rFonts w:ascii="Times New Roman" w:hAnsi="Times New Roman" w:eastAsia="Times New Roman" w:cs="Times New Roman"/>
          <w:i/>
          <w:iCs/>
          <w:position w:val="5"/>
          <w:sz w:val="23"/>
          <w:szCs w:val="23"/>
        </w:rPr>
        <w:t>R</w:t>
      </w:r>
      <w:r>
        <w:rPr>
          <w:position w:val="9"/>
          <w:sz w:val="23"/>
          <w:szCs w:val="23"/>
        </w:rPr>
        <w:drawing>
          <wp:inline distT="0" distB="0" distL="0" distR="0">
            <wp:extent cx="20320" cy="16510"/>
            <wp:effectExtent l="0" t="0" r="5080" b="254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69"/>
                    <a:stretch>
                      <a:fillRect/>
                    </a:stretch>
                  </pic:blipFill>
                  <pic:spPr>
                    <a:xfrm>
                      <a:off x="0" y="0"/>
                      <a:ext cx="20905" cy="16932"/>
                    </a:xfrm>
                    <a:prstGeom prst="rect">
                      <a:avLst/>
                    </a:prstGeom>
                  </pic:spPr>
                </pic:pic>
              </a:graphicData>
            </a:graphic>
          </wp:inline>
        </w:drawing>
      </w:r>
      <w:r>
        <w:rPr>
          <w:rFonts w:ascii="Times New Roman" w:hAnsi="Times New Roman" w:eastAsia="Times New Roman" w:cs="Times New Roman"/>
          <w:i/>
          <w:iCs/>
          <w:position w:val="5"/>
          <w:sz w:val="23"/>
          <w:szCs w:val="23"/>
        </w:rPr>
        <w:t>I</w:t>
      </w:r>
    </w:p>
    <w:p w14:paraId="537A47E2">
      <w:pPr>
        <w:tabs>
          <w:tab w:val="left" w:pos="2513"/>
        </w:tabs>
        <w:spacing w:before="116" w:line="184" w:lineRule="auto"/>
        <w:ind w:left="2466"/>
        <w:rPr>
          <w:sz w:val="23"/>
          <w:szCs w:val="23"/>
        </w:rPr>
      </w:pPr>
      <w:r>
        <w:rPr>
          <w:rFonts w:ascii="Times New Roman" w:hAnsi="Times New Roman" w:eastAsia="Times New Roman" w:cs="Times New Roman"/>
          <w:position w:val="14"/>
          <w:sz w:val="23"/>
          <w:szCs w:val="23"/>
          <w:u w:val="single" w:color="auto"/>
        </w:rPr>
        <w:tab/>
      </w:r>
      <w:r>
        <w:rPr>
          <w:rFonts w:ascii="Times New Roman" w:hAnsi="Times New Roman" w:eastAsia="Times New Roman" w:cs="Times New Roman"/>
          <w:spacing w:val="-24"/>
          <w:position w:val="14"/>
          <w:sz w:val="23"/>
          <w:szCs w:val="23"/>
          <w:u w:val="single" w:color="auto"/>
        </w:rPr>
        <w:t>1</w:t>
      </w:r>
      <w:r>
        <w:rPr>
          <w:position w:val="-5"/>
          <w:sz w:val="23"/>
          <w:szCs w:val="23"/>
        </w:rPr>
        <w:drawing>
          <wp:inline distT="0" distB="0" distL="0" distR="0">
            <wp:extent cx="64770" cy="166370"/>
            <wp:effectExtent l="0" t="0" r="11430" b="12065"/>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70"/>
                    <a:stretch>
                      <a:fillRect/>
                    </a:stretch>
                  </pic:blipFill>
                  <pic:spPr>
                    <a:xfrm>
                      <a:off x="0" y="0"/>
                      <a:ext cx="65159" cy="166766"/>
                    </a:xfrm>
                    <a:prstGeom prst="rect">
                      <a:avLst/>
                    </a:prstGeom>
                  </pic:spPr>
                </pic:pic>
              </a:graphicData>
            </a:graphic>
          </wp:inline>
        </w:drawing>
      </w:r>
      <w:r>
        <w:rPr>
          <w:position w:val="-7"/>
          <w:sz w:val="23"/>
          <w:szCs w:val="23"/>
        </w:rPr>
        <w:drawing>
          <wp:inline distT="0" distB="0" distL="0" distR="0">
            <wp:extent cx="203200" cy="230505"/>
            <wp:effectExtent l="0" t="0" r="0" b="10795"/>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r:embed="rId71"/>
                    <a:stretch>
                      <a:fillRect/>
                    </a:stretch>
                  </pic:blipFill>
                  <pic:spPr>
                    <a:xfrm>
                      <a:off x="0" y="0"/>
                      <a:ext cx="203426" cy="230577"/>
                    </a:xfrm>
                    <a:prstGeom prst="rect">
                      <a:avLst/>
                    </a:prstGeom>
                  </pic:spPr>
                </pic:pic>
              </a:graphicData>
            </a:graphic>
          </wp:inline>
        </w:drawing>
      </w:r>
    </w:p>
    <w:p w14:paraId="6286C2E9">
      <w:pPr>
        <w:pStyle w:val="25"/>
        <w:spacing w:before="1" w:line="195" w:lineRule="auto"/>
        <w:ind w:left="586"/>
        <w:rPr>
          <w:rFonts w:ascii="Times New Roman" w:hAnsi="Times New Roman" w:eastAsia="Times New Roman" w:cs="Times New Roman"/>
          <w:sz w:val="23"/>
          <w:szCs w:val="23"/>
        </w:rPr>
      </w:pPr>
      <w:r>
        <w:rPr>
          <w:spacing w:val="-2"/>
          <w:sz w:val="28"/>
          <w:szCs w:val="28"/>
        </w:rPr>
        <w:t>曼宁公式：C=</w:t>
      </w:r>
      <w:r>
        <w:rPr>
          <w:rFonts w:ascii="Times New Roman" w:hAnsi="Times New Roman" w:eastAsia="Times New Roman" w:cs="Times New Roman"/>
          <w:i/>
          <w:iCs/>
          <w:spacing w:val="-2"/>
          <w:position w:val="5"/>
          <w:sz w:val="23"/>
          <w:szCs w:val="23"/>
        </w:rPr>
        <w:t>n</w:t>
      </w:r>
    </w:p>
    <w:p w14:paraId="5313EB82">
      <w:pPr>
        <w:adjustRightInd w:val="0"/>
        <w:snapToGrid w:val="0"/>
        <w:ind w:firstLine="560"/>
        <w:rPr>
          <w:rFonts w:hint="default"/>
          <w:color w:val="auto"/>
          <w:sz w:val="28"/>
          <w:szCs w:val="28"/>
          <w:lang w:val="en-US" w:eastAsia="zh-CN"/>
        </w:rPr>
      </w:pPr>
      <w:r>
        <w:rPr>
          <w:rFonts w:hint="default"/>
          <w:color w:val="auto"/>
          <w:sz w:val="28"/>
          <w:szCs w:val="28"/>
          <w:lang w:val="en-US" w:eastAsia="zh-CN"/>
        </w:rPr>
        <w:t>式中：</w:t>
      </w:r>
    </w:p>
    <w:p w14:paraId="52EA3745">
      <w:pPr>
        <w:adjustRightInd w:val="0"/>
        <w:snapToGrid w:val="0"/>
        <w:ind w:firstLine="560"/>
        <w:rPr>
          <w:rFonts w:hint="default"/>
          <w:color w:val="auto"/>
          <w:sz w:val="28"/>
          <w:szCs w:val="28"/>
          <w:lang w:val="en-US" w:eastAsia="zh-CN"/>
        </w:rPr>
      </w:pPr>
      <w:r>
        <w:rPr>
          <w:rFonts w:hint="default"/>
          <w:color w:val="auto"/>
          <w:sz w:val="28"/>
          <w:szCs w:val="28"/>
          <w:lang w:val="en-US" w:eastAsia="zh-CN"/>
        </w:rPr>
        <w:t>Q——流量（</w:t>
      </w:r>
      <w:r>
        <w:rPr>
          <w:rFonts w:hint="eastAsia"/>
          <w:color w:val="auto"/>
          <w:sz w:val="28"/>
          <w:szCs w:val="28"/>
          <w:vertAlign w:val="baseline"/>
          <w:lang w:val="en-US" w:eastAsia="zh-CN"/>
        </w:rPr>
        <w:t>m</w:t>
      </w:r>
      <w:r>
        <w:rPr>
          <w:rFonts w:hint="eastAsia"/>
          <w:color w:val="auto"/>
          <w:sz w:val="28"/>
          <w:szCs w:val="28"/>
          <w:vertAlign w:val="superscript"/>
          <w:lang w:val="en-US" w:eastAsia="zh-CN"/>
        </w:rPr>
        <w:t>3</w:t>
      </w:r>
      <w:r>
        <w:rPr>
          <w:rFonts w:hint="default"/>
          <w:color w:val="auto"/>
          <w:sz w:val="28"/>
          <w:szCs w:val="28"/>
          <w:lang w:val="en-US" w:eastAsia="zh-CN"/>
        </w:rPr>
        <w:t>/s）</w:t>
      </w:r>
    </w:p>
    <w:p w14:paraId="1936E006">
      <w:pPr>
        <w:adjustRightInd w:val="0"/>
        <w:snapToGrid w:val="0"/>
        <w:ind w:firstLine="560"/>
        <w:rPr>
          <w:rFonts w:hint="default"/>
          <w:color w:val="auto"/>
          <w:sz w:val="28"/>
          <w:szCs w:val="28"/>
          <w:lang w:val="en-US" w:eastAsia="zh-CN"/>
        </w:rPr>
      </w:pPr>
      <w:r>
        <w:rPr>
          <w:rFonts w:hint="default"/>
          <w:color w:val="auto"/>
          <w:sz w:val="28"/>
          <w:szCs w:val="28"/>
          <w:lang w:val="en-US" w:eastAsia="zh-CN"/>
        </w:rPr>
        <w:t>ω——过水断面面积（</w:t>
      </w:r>
      <w:r>
        <w:rPr>
          <w:rFonts w:hint="eastAsia"/>
          <w:color w:val="auto"/>
          <w:sz w:val="28"/>
          <w:szCs w:val="28"/>
          <w:vertAlign w:val="baseline"/>
          <w:lang w:val="en-US" w:eastAsia="zh-CN"/>
        </w:rPr>
        <w:t>m</w:t>
      </w:r>
      <w:r>
        <w:rPr>
          <w:rFonts w:hint="eastAsia"/>
          <w:color w:val="auto"/>
          <w:sz w:val="28"/>
          <w:szCs w:val="28"/>
          <w:vertAlign w:val="superscript"/>
          <w:lang w:val="en-US" w:eastAsia="zh-CN"/>
        </w:rPr>
        <w:t>2</w:t>
      </w:r>
      <w:r>
        <w:rPr>
          <w:rFonts w:hint="default"/>
          <w:color w:val="auto"/>
          <w:sz w:val="28"/>
          <w:szCs w:val="28"/>
          <w:lang w:val="en-US" w:eastAsia="zh-CN"/>
        </w:rPr>
        <w:t>）</w:t>
      </w:r>
    </w:p>
    <w:p w14:paraId="0AEA6D51">
      <w:pPr>
        <w:adjustRightInd w:val="0"/>
        <w:snapToGrid w:val="0"/>
        <w:ind w:firstLine="560"/>
        <w:rPr>
          <w:rFonts w:hint="default"/>
          <w:color w:val="auto"/>
          <w:sz w:val="28"/>
          <w:szCs w:val="28"/>
          <w:lang w:val="en-US" w:eastAsia="zh-CN"/>
        </w:rPr>
      </w:pPr>
      <w:r>
        <w:rPr>
          <w:rFonts w:hint="default"/>
          <w:color w:val="auto"/>
          <w:sz w:val="28"/>
          <w:szCs w:val="28"/>
          <w:lang w:val="en-US" w:eastAsia="zh-CN"/>
        </w:rPr>
        <w:t>V——流速（</w:t>
      </w:r>
      <w:r>
        <w:rPr>
          <w:rFonts w:hint="eastAsia"/>
          <w:color w:val="auto"/>
          <w:sz w:val="28"/>
          <w:szCs w:val="28"/>
          <w:lang w:val="en-US" w:eastAsia="zh-CN"/>
        </w:rPr>
        <w:t>m</w:t>
      </w:r>
      <w:r>
        <w:rPr>
          <w:rFonts w:hint="default"/>
          <w:color w:val="auto"/>
          <w:sz w:val="28"/>
          <w:szCs w:val="28"/>
          <w:lang w:val="en-US" w:eastAsia="zh-CN"/>
        </w:rPr>
        <w:t>/s）</w:t>
      </w:r>
    </w:p>
    <w:p w14:paraId="3121A91F">
      <w:pPr>
        <w:adjustRightInd w:val="0"/>
        <w:snapToGrid w:val="0"/>
        <w:ind w:firstLine="560"/>
        <w:rPr>
          <w:rFonts w:hint="default"/>
          <w:color w:val="auto"/>
          <w:sz w:val="28"/>
          <w:szCs w:val="28"/>
          <w:lang w:val="en-US" w:eastAsia="zh-CN"/>
        </w:rPr>
      </w:pPr>
      <w:r>
        <w:rPr>
          <w:rFonts w:hint="default"/>
          <w:color w:val="auto"/>
          <w:sz w:val="28"/>
          <w:szCs w:val="28"/>
          <w:lang w:val="en-US" w:eastAsia="zh-CN"/>
        </w:rPr>
        <w:t>R——水力半径（过水断面面积与湿周的比值）（</w:t>
      </w:r>
      <w:r>
        <w:rPr>
          <w:rFonts w:hint="eastAsia"/>
          <w:color w:val="auto"/>
          <w:sz w:val="28"/>
          <w:szCs w:val="28"/>
          <w:lang w:val="en-US" w:eastAsia="zh-CN"/>
        </w:rPr>
        <w:t>m</w:t>
      </w:r>
      <w:r>
        <w:rPr>
          <w:rFonts w:hint="default"/>
          <w:color w:val="auto"/>
          <w:sz w:val="28"/>
          <w:szCs w:val="28"/>
          <w:lang w:val="en-US" w:eastAsia="zh-CN"/>
        </w:rPr>
        <w:t>）</w:t>
      </w:r>
    </w:p>
    <w:p w14:paraId="63ECA936">
      <w:pPr>
        <w:adjustRightInd w:val="0"/>
        <w:snapToGrid w:val="0"/>
        <w:ind w:firstLine="560"/>
        <w:rPr>
          <w:rFonts w:hint="default"/>
          <w:color w:val="auto"/>
          <w:sz w:val="28"/>
          <w:szCs w:val="28"/>
          <w:lang w:val="en-US" w:eastAsia="zh-CN"/>
        </w:rPr>
      </w:pPr>
      <w:r>
        <w:rPr>
          <w:rFonts w:hint="default"/>
          <w:color w:val="auto"/>
          <w:sz w:val="28"/>
          <w:szCs w:val="28"/>
          <w:lang w:val="en-US" w:eastAsia="zh-CN"/>
        </w:rPr>
        <w:t>I——水力坡度</w:t>
      </w:r>
    </w:p>
    <w:p w14:paraId="07CB91B6">
      <w:pPr>
        <w:adjustRightInd w:val="0"/>
        <w:snapToGrid w:val="0"/>
        <w:ind w:firstLine="560"/>
        <w:rPr>
          <w:rFonts w:hint="default"/>
          <w:color w:val="auto"/>
          <w:sz w:val="28"/>
          <w:szCs w:val="28"/>
          <w:lang w:val="en-US" w:eastAsia="zh-CN"/>
        </w:rPr>
      </w:pPr>
      <w:r>
        <w:rPr>
          <w:rFonts w:hint="default"/>
          <w:color w:val="auto"/>
          <w:sz w:val="28"/>
          <w:szCs w:val="28"/>
          <w:lang w:val="en-US" w:eastAsia="zh-CN"/>
        </w:rPr>
        <w:t>C——流速系数</w:t>
      </w:r>
    </w:p>
    <w:p w14:paraId="3E86AA9E">
      <w:pPr>
        <w:adjustRightInd w:val="0"/>
        <w:snapToGrid w:val="0"/>
        <w:ind w:firstLine="560"/>
        <w:rPr>
          <w:rFonts w:hint="default"/>
          <w:color w:val="auto"/>
          <w:sz w:val="28"/>
          <w:szCs w:val="28"/>
          <w:lang w:val="en-US" w:eastAsia="zh-CN"/>
        </w:rPr>
      </w:pPr>
      <w:r>
        <w:rPr>
          <w:rFonts w:hint="default"/>
          <w:color w:val="auto"/>
          <w:sz w:val="28"/>
          <w:szCs w:val="28"/>
          <w:lang w:val="en-US" w:eastAsia="zh-CN"/>
        </w:rPr>
        <w:t>n——沟壁粗糙系数，0.014</w:t>
      </w:r>
    </w:p>
    <w:p w14:paraId="5C057448">
      <w:pPr>
        <w:adjustRightInd w:val="0"/>
        <w:snapToGrid w:val="0"/>
        <w:ind w:firstLine="560"/>
        <w:rPr>
          <w:rFonts w:hint="eastAsia"/>
          <w:color w:val="auto"/>
          <w:sz w:val="28"/>
          <w:szCs w:val="28"/>
        </w:rPr>
      </w:pPr>
      <w:r>
        <w:rPr>
          <w:rFonts w:hint="eastAsia"/>
          <w:color w:val="auto"/>
          <w:sz w:val="28"/>
          <w:szCs w:val="28"/>
          <w:lang w:val="en-US" w:eastAsia="zh-CN"/>
        </w:rPr>
        <w:t>①</w:t>
      </w:r>
      <w:r>
        <w:rPr>
          <w:rFonts w:hint="eastAsia"/>
          <w:color w:val="auto"/>
          <w:sz w:val="28"/>
          <w:szCs w:val="28"/>
        </w:rPr>
        <w:t>左岸截洪沟ZJ3-ZJ10段，则当过水高度为0.9</w:t>
      </w:r>
      <w:r>
        <w:rPr>
          <w:rFonts w:hint="eastAsia"/>
          <w:color w:val="auto"/>
          <w:sz w:val="28"/>
          <w:szCs w:val="28"/>
          <w:lang w:eastAsia="zh-CN"/>
        </w:rPr>
        <w:t>m</w:t>
      </w:r>
      <w:r>
        <w:rPr>
          <w:rFonts w:hint="eastAsia"/>
          <w:color w:val="auto"/>
          <w:sz w:val="28"/>
          <w:szCs w:val="28"/>
        </w:rPr>
        <w:t>时过流能力如下：</w:t>
      </w:r>
    </w:p>
    <w:p w14:paraId="6C6AEBC1">
      <w:pPr>
        <w:adjustRightInd w:val="0"/>
        <w:snapToGrid w:val="0"/>
        <w:ind w:firstLine="560"/>
        <w:rPr>
          <w:rFonts w:hint="default"/>
          <w:color w:val="auto"/>
          <w:sz w:val="28"/>
          <w:szCs w:val="28"/>
          <w:lang w:val="en-US" w:eastAsia="zh-CN"/>
        </w:rPr>
      </w:pPr>
      <w:r>
        <w:rPr>
          <w:rFonts w:hint="default"/>
          <w:color w:val="auto"/>
          <w:sz w:val="28"/>
          <w:szCs w:val="28"/>
          <w:lang w:val="en-US" w:eastAsia="zh-CN"/>
        </w:rPr>
        <w:t>ω=1.08</w:t>
      </w:r>
      <w:r>
        <w:rPr>
          <w:rFonts w:hint="eastAsia"/>
          <w:color w:val="auto"/>
          <w:sz w:val="28"/>
          <w:szCs w:val="28"/>
          <w:vertAlign w:val="baseline"/>
          <w:lang w:val="en-US" w:eastAsia="zh-CN"/>
        </w:rPr>
        <w:t>m</w:t>
      </w:r>
      <w:r>
        <w:rPr>
          <w:rFonts w:hint="eastAsia"/>
          <w:color w:val="auto"/>
          <w:sz w:val="28"/>
          <w:szCs w:val="28"/>
          <w:vertAlign w:val="superscript"/>
          <w:lang w:val="en-US" w:eastAsia="zh-CN"/>
        </w:rPr>
        <w:t>2</w:t>
      </w:r>
    </w:p>
    <w:p w14:paraId="32C87BF7">
      <w:pPr>
        <w:adjustRightInd w:val="0"/>
        <w:snapToGrid w:val="0"/>
        <w:ind w:firstLine="560"/>
        <w:rPr>
          <w:rFonts w:hint="default"/>
          <w:color w:val="auto"/>
          <w:sz w:val="28"/>
          <w:szCs w:val="28"/>
          <w:lang w:val="en-US" w:eastAsia="zh-CN"/>
        </w:rPr>
      </w:pPr>
      <w:r>
        <w:rPr>
          <w:rFonts w:hint="default"/>
          <w:color w:val="auto"/>
          <w:sz w:val="28"/>
          <w:szCs w:val="28"/>
          <w:lang w:val="en-US" w:eastAsia="zh-CN"/>
        </w:rPr>
        <w:t>R=0.360</w:t>
      </w:r>
      <w:r>
        <w:rPr>
          <w:rFonts w:hint="eastAsia"/>
          <w:color w:val="auto"/>
          <w:sz w:val="28"/>
          <w:szCs w:val="28"/>
          <w:lang w:val="en-US" w:eastAsia="zh-CN"/>
        </w:rPr>
        <w:t>m</w:t>
      </w:r>
    </w:p>
    <w:p w14:paraId="6A0138D8">
      <w:pPr>
        <w:adjustRightInd w:val="0"/>
        <w:snapToGrid w:val="0"/>
        <w:ind w:firstLine="560"/>
        <w:rPr>
          <w:rFonts w:hint="default"/>
          <w:color w:val="auto"/>
          <w:sz w:val="28"/>
          <w:szCs w:val="28"/>
          <w:lang w:val="en-US" w:eastAsia="zh-CN"/>
        </w:rPr>
      </w:pPr>
      <w:r>
        <w:rPr>
          <w:rFonts w:hint="default"/>
          <w:color w:val="auto"/>
          <w:sz w:val="28"/>
          <w:szCs w:val="28"/>
          <w:lang w:val="en-US" w:eastAsia="zh-CN"/>
        </w:rPr>
        <w:t>C=60.25</w:t>
      </w:r>
    </w:p>
    <w:p w14:paraId="35E5643F">
      <w:pPr>
        <w:adjustRightInd w:val="0"/>
        <w:snapToGrid w:val="0"/>
        <w:ind w:firstLine="560"/>
        <w:rPr>
          <w:rFonts w:hint="default"/>
          <w:color w:val="auto"/>
          <w:sz w:val="28"/>
          <w:szCs w:val="28"/>
          <w:lang w:val="en-US" w:eastAsia="zh-CN"/>
        </w:rPr>
      </w:pPr>
      <w:r>
        <w:rPr>
          <w:rFonts w:hint="default"/>
          <w:color w:val="auto"/>
          <w:sz w:val="28"/>
          <w:szCs w:val="28"/>
          <w:lang w:val="en-US" w:eastAsia="zh-CN"/>
        </w:rPr>
        <w:t>V=3.61</w:t>
      </w:r>
      <w:r>
        <w:rPr>
          <w:rFonts w:hint="eastAsia"/>
          <w:color w:val="auto"/>
          <w:sz w:val="28"/>
          <w:szCs w:val="28"/>
          <w:lang w:val="en-US" w:eastAsia="zh-CN"/>
        </w:rPr>
        <w:t>m</w:t>
      </w:r>
      <w:r>
        <w:rPr>
          <w:rFonts w:hint="default"/>
          <w:color w:val="auto"/>
          <w:sz w:val="28"/>
          <w:szCs w:val="28"/>
          <w:lang w:val="en-US" w:eastAsia="zh-CN"/>
        </w:rPr>
        <w:t>/s</w:t>
      </w:r>
    </w:p>
    <w:p w14:paraId="5B96AADC">
      <w:pPr>
        <w:adjustRightInd w:val="0"/>
        <w:snapToGrid w:val="0"/>
        <w:ind w:firstLine="560"/>
        <w:rPr>
          <w:rFonts w:hint="default"/>
          <w:color w:val="auto"/>
          <w:sz w:val="28"/>
          <w:szCs w:val="28"/>
          <w:lang w:val="en-US" w:eastAsia="zh-CN"/>
        </w:rPr>
      </w:pPr>
      <w:r>
        <w:rPr>
          <w:rFonts w:hint="default"/>
          <w:color w:val="auto"/>
          <w:sz w:val="28"/>
          <w:szCs w:val="28"/>
          <w:lang w:val="en-US" w:eastAsia="zh-CN"/>
        </w:rPr>
        <w:t>Q=ω·V=1.08×3.61=3.90</w:t>
      </w:r>
      <w:r>
        <w:rPr>
          <w:rFonts w:hint="eastAsia"/>
          <w:color w:val="auto"/>
          <w:sz w:val="28"/>
          <w:szCs w:val="28"/>
          <w:vertAlign w:val="baseline"/>
          <w:lang w:val="en-US" w:eastAsia="zh-CN"/>
        </w:rPr>
        <w:t>m</w:t>
      </w:r>
      <w:r>
        <w:rPr>
          <w:rFonts w:hint="eastAsia"/>
          <w:color w:val="auto"/>
          <w:sz w:val="28"/>
          <w:szCs w:val="28"/>
          <w:vertAlign w:val="superscript"/>
          <w:lang w:val="en-US" w:eastAsia="zh-CN"/>
        </w:rPr>
        <w:t>3</w:t>
      </w:r>
      <w:r>
        <w:rPr>
          <w:rFonts w:hint="default"/>
          <w:color w:val="auto"/>
          <w:sz w:val="28"/>
          <w:szCs w:val="28"/>
          <w:lang w:val="en-US" w:eastAsia="zh-CN"/>
        </w:rPr>
        <w:t>/s</w:t>
      </w:r>
    </w:p>
    <w:p w14:paraId="17F6598F">
      <w:pPr>
        <w:adjustRightInd w:val="0"/>
        <w:snapToGrid w:val="0"/>
        <w:ind w:firstLine="560"/>
        <w:rPr>
          <w:rFonts w:hint="eastAsia"/>
          <w:color w:val="auto"/>
          <w:sz w:val="28"/>
          <w:szCs w:val="28"/>
        </w:rPr>
      </w:pPr>
      <w:r>
        <w:rPr>
          <w:rFonts w:hint="default"/>
          <w:color w:val="auto"/>
          <w:sz w:val="28"/>
          <w:szCs w:val="28"/>
          <w:lang w:val="en-US" w:eastAsia="zh-CN"/>
        </w:rPr>
        <w:t>即当截洪沟过流高度0.9</w:t>
      </w:r>
      <w:r>
        <w:rPr>
          <w:rFonts w:hint="eastAsia"/>
          <w:color w:val="auto"/>
          <w:sz w:val="28"/>
          <w:szCs w:val="28"/>
          <w:lang w:val="en-US" w:eastAsia="zh-CN"/>
        </w:rPr>
        <w:t>m</w:t>
      </w:r>
      <w:r>
        <w:rPr>
          <w:rFonts w:hint="default"/>
          <w:color w:val="auto"/>
          <w:sz w:val="28"/>
          <w:szCs w:val="28"/>
          <w:lang w:val="en-US" w:eastAsia="zh-CN"/>
        </w:rPr>
        <w:t>时，排</w:t>
      </w:r>
      <w:r>
        <w:rPr>
          <w:rFonts w:hint="eastAsia"/>
          <w:color w:val="auto"/>
          <w:sz w:val="28"/>
          <w:szCs w:val="28"/>
        </w:rPr>
        <w:t>洪能力为3.90</w:t>
      </w:r>
      <w:r>
        <w:rPr>
          <w:rFonts w:hint="eastAsia"/>
          <w:color w:val="auto"/>
          <w:sz w:val="28"/>
          <w:szCs w:val="28"/>
          <w:vertAlign w:val="baseline"/>
          <w:lang w:eastAsia="zh-CN"/>
        </w:rPr>
        <w:t>m</w:t>
      </w:r>
      <w:r>
        <w:rPr>
          <w:rFonts w:hint="eastAsia"/>
          <w:color w:val="auto"/>
          <w:sz w:val="28"/>
          <w:szCs w:val="28"/>
          <w:vertAlign w:val="superscript"/>
          <w:lang w:eastAsia="zh-CN"/>
        </w:rPr>
        <w:t>3</w:t>
      </w:r>
      <w:r>
        <w:rPr>
          <w:rFonts w:hint="eastAsia"/>
          <w:color w:val="auto"/>
          <w:sz w:val="28"/>
          <w:szCs w:val="28"/>
        </w:rPr>
        <w:t>/s，大于上游及左岸区域需要排泄的洪峰流量为3.85</w:t>
      </w:r>
      <w:r>
        <w:rPr>
          <w:rFonts w:hint="eastAsia"/>
          <w:color w:val="auto"/>
          <w:sz w:val="28"/>
          <w:szCs w:val="28"/>
          <w:vertAlign w:val="baseline"/>
          <w:lang w:eastAsia="zh-CN"/>
        </w:rPr>
        <w:t>m</w:t>
      </w:r>
      <w:r>
        <w:rPr>
          <w:rFonts w:hint="eastAsia"/>
          <w:color w:val="auto"/>
          <w:sz w:val="28"/>
          <w:szCs w:val="28"/>
          <w:vertAlign w:val="superscript"/>
          <w:lang w:eastAsia="zh-CN"/>
        </w:rPr>
        <w:t>3</w:t>
      </w:r>
      <w:r>
        <w:rPr>
          <w:rFonts w:hint="eastAsia"/>
          <w:color w:val="auto"/>
          <w:sz w:val="28"/>
          <w:szCs w:val="28"/>
        </w:rPr>
        <w:t>/s（P=0.5%）。左岸截洪沟ZJ3-ZJ10段满足排洪要求。</w:t>
      </w:r>
    </w:p>
    <w:p w14:paraId="5EC99F05">
      <w:pPr>
        <w:adjustRightInd w:val="0"/>
        <w:snapToGrid w:val="0"/>
        <w:ind w:firstLine="560"/>
        <w:rPr>
          <w:rFonts w:hint="eastAsia"/>
          <w:color w:val="auto"/>
          <w:sz w:val="28"/>
          <w:szCs w:val="28"/>
          <w:lang w:val="en-US" w:eastAsia="zh-CN"/>
        </w:rPr>
      </w:pPr>
      <w:r>
        <w:rPr>
          <w:rFonts w:hint="eastAsia"/>
          <w:color w:val="auto"/>
          <w:sz w:val="28"/>
          <w:szCs w:val="28"/>
          <w:lang w:val="en-US" w:eastAsia="zh-CN"/>
        </w:rPr>
        <w:t>②左岸截洪沟ZJ1-ZJ3段，则当过水高度为0.9m时过流能力如下：</w:t>
      </w:r>
    </w:p>
    <w:p w14:paraId="20BAA24C">
      <w:pPr>
        <w:adjustRightInd w:val="0"/>
        <w:snapToGrid w:val="0"/>
        <w:ind w:firstLine="560"/>
        <w:rPr>
          <w:rFonts w:hint="eastAsia"/>
          <w:color w:val="auto"/>
          <w:sz w:val="28"/>
          <w:szCs w:val="28"/>
          <w:lang w:val="en-US" w:eastAsia="zh-CN"/>
        </w:rPr>
      </w:pPr>
      <w:r>
        <w:rPr>
          <w:rFonts w:hint="eastAsia"/>
          <w:color w:val="auto"/>
          <w:sz w:val="28"/>
          <w:szCs w:val="28"/>
        </w:rPr>
        <w:t>ω</w:t>
      </w:r>
      <w:r>
        <w:rPr>
          <w:rFonts w:hint="eastAsia"/>
          <w:color w:val="auto"/>
          <w:sz w:val="28"/>
          <w:szCs w:val="28"/>
          <w:lang w:val="en-US" w:eastAsia="zh-CN"/>
        </w:rPr>
        <w:t>=1.08</w:t>
      </w:r>
      <w:r>
        <w:rPr>
          <w:rFonts w:hint="eastAsia"/>
          <w:color w:val="auto"/>
          <w:sz w:val="28"/>
          <w:szCs w:val="28"/>
          <w:vertAlign w:val="baseline"/>
          <w:lang w:val="en-US" w:eastAsia="zh-CN"/>
        </w:rPr>
        <w:t>m</w:t>
      </w:r>
      <w:r>
        <w:rPr>
          <w:rFonts w:hint="eastAsia"/>
          <w:color w:val="auto"/>
          <w:sz w:val="28"/>
          <w:szCs w:val="28"/>
          <w:vertAlign w:val="superscript"/>
          <w:lang w:val="en-US" w:eastAsia="zh-CN"/>
        </w:rPr>
        <w:t>2</w:t>
      </w:r>
    </w:p>
    <w:p w14:paraId="017A6288">
      <w:pPr>
        <w:adjustRightInd w:val="0"/>
        <w:snapToGrid w:val="0"/>
        <w:ind w:firstLine="560"/>
        <w:rPr>
          <w:rFonts w:hint="eastAsia"/>
          <w:color w:val="auto"/>
          <w:sz w:val="28"/>
          <w:szCs w:val="28"/>
          <w:lang w:val="en-US" w:eastAsia="zh-CN"/>
        </w:rPr>
      </w:pPr>
      <w:r>
        <w:rPr>
          <w:rFonts w:hint="eastAsia"/>
          <w:color w:val="auto"/>
          <w:sz w:val="28"/>
          <w:szCs w:val="28"/>
          <w:lang w:val="en-US" w:eastAsia="zh-CN"/>
        </w:rPr>
        <w:t>R=0.360m</w:t>
      </w:r>
    </w:p>
    <w:p w14:paraId="7A781EA2">
      <w:pPr>
        <w:adjustRightInd w:val="0"/>
        <w:snapToGrid w:val="0"/>
        <w:ind w:firstLine="560"/>
        <w:rPr>
          <w:rFonts w:hint="eastAsia"/>
          <w:color w:val="auto"/>
          <w:sz w:val="28"/>
          <w:szCs w:val="28"/>
          <w:lang w:val="en-US" w:eastAsia="zh-CN"/>
        </w:rPr>
      </w:pPr>
      <w:r>
        <w:rPr>
          <w:rFonts w:hint="eastAsia"/>
          <w:color w:val="auto"/>
          <w:sz w:val="28"/>
          <w:szCs w:val="28"/>
          <w:lang w:val="en-US" w:eastAsia="zh-CN"/>
        </w:rPr>
        <w:t>C=60.25</w:t>
      </w:r>
    </w:p>
    <w:p w14:paraId="4241F63E">
      <w:pPr>
        <w:adjustRightInd w:val="0"/>
        <w:snapToGrid w:val="0"/>
        <w:ind w:firstLine="560"/>
        <w:rPr>
          <w:rFonts w:hint="eastAsia"/>
          <w:color w:val="auto"/>
          <w:sz w:val="28"/>
          <w:szCs w:val="28"/>
          <w:lang w:val="en-US" w:eastAsia="zh-CN"/>
        </w:rPr>
      </w:pPr>
      <w:r>
        <w:rPr>
          <w:rFonts w:hint="eastAsia"/>
          <w:color w:val="auto"/>
          <w:sz w:val="28"/>
          <w:szCs w:val="28"/>
          <w:lang w:val="en-US" w:eastAsia="zh-CN"/>
        </w:rPr>
        <w:t>V=5.11m/s</w:t>
      </w:r>
    </w:p>
    <w:p w14:paraId="5C645873">
      <w:pPr>
        <w:adjustRightInd w:val="0"/>
        <w:snapToGrid w:val="0"/>
        <w:ind w:firstLine="560"/>
        <w:rPr>
          <w:rFonts w:hint="eastAsia"/>
          <w:color w:val="auto"/>
          <w:sz w:val="28"/>
          <w:szCs w:val="28"/>
          <w:lang w:val="en-US" w:eastAsia="zh-CN"/>
        </w:rPr>
      </w:pPr>
      <w:r>
        <w:rPr>
          <w:rFonts w:hint="eastAsia"/>
          <w:color w:val="auto"/>
          <w:sz w:val="28"/>
          <w:szCs w:val="28"/>
          <w:lang w:val="en-US" w:eastAsia="zh-CN"/>
        </w:rPr>
        <w:t>Q=ω·V=1.08×5.11=5.52</w:t>
      </w:r>
      <w:r>
        <w:rPr>
          <w:rFonts w:hint="eastAsia"/>
          <w:color w:val="auto"/>
          <w:sz w:val="28"/>
          <w:szCs w:val="28"/>
          <w:vertAlign w:val="baseline"/>
          <w:lang w:val="en-US" w:eastAsia="zh-CN"/>
        </w:rPr>
        <w:t>m</w:t>
      </w:r>
      <w:r>
        <w:rPr>
          <w:rFonts w:hint="eastAsia"/>
          <w:color w:val="auto"/>
          <w:sz w:val="28"/>
          <w:szCs w:val="28"/>
          <w:vertAlign w:val="superscript"/>
          <w:lang w:val="en-US" w:eastAsia="zh-CN"/>
        </w:rPr>
        <w:t>3</w:t>
      </w:r>
      <w:r>
        <w:rPr>
          <w:rFonts w:hint="eastAsia"/>
          <w:color w:val="auto"/>
          <w:sz w:val="28"/>
          <w:szCs w:val="28"/>
          <w:lang w:val="en-US" w:eastAsia="zh-CN"/>
        </w:rPr>
        <w:t>/s</w:t>
      </w:r>
    </w:p>
    <w:p w14:paraId="3CD5D5C1">
      <w:pPr>
        <w:adjustRightInd w:val="0"/>
        <w:snapToGrid w:val="0"/>
        <w:ind w:firstLine="560"/>
        <w:rPr>
          <w:rFonts w:hint="eastAsia"/>
          <w:color w:val="auto"/>
          <w:sz w:val="28"/>
          <w:szCs w:val="28"/>
          <w:lang w:val="en-US" w:eastAsia="zh-CN"/>
        </w:rPr>
      </w:pPr>
      <w:r>
        <w:rPr>
          <w:rFonts w:hint="eastAsia"/>
          <w:color w:val="auto"/>
          <w:sz w:val="28"/>
          <w:szCs w:val="28"/>
          <w:lang w:val="en-US" w:eastAsia="zh-CN"/>
        </w:rPr>
        <w:t>即当截洪沟过流高度0.9m时，排洪能力为5.52</w:t>
      </w:r>
      <w:r>
        <w:rPr>
          <w:rFonts w:hint="eastAsia"/>
          <w:color w:val="auto"/>
          <w:sz w:val="28"/>
          <w:szCs w:val="28"/>
          <w:vertAlign w:val="baseline"/>
          <w:lang w:val="en-US" w:eastAsia="zh-CN"/>
        </w:rPr>
        <w:t>m</w:t>
      </w:r>
      <w:r>
        <w:rPr>
          <w:rFonts w:hint="eastAsia"/>
          <w:color w:val="auto"/>
          <w:sz w:val="28"/>
          <w:szCs w:val="28"/>
          <w:vertAlign w:val="superscript"/>
          <w:lang w:val="en-US" w:eastAsia="zh-CN"/>
        </w:rPr>
        <w:t>3</w:t>
      </w:r>
      <w:r>
        <w:rPr>
          <w:rFonts w:hint="eastAsia"/>
          <w:color w:val="auto"/>
          <w:sz w:val="28"/>
          <w:szCs w:val="28"/>
          <w:lang w:val="en-US" w:eastAsia="zh-CN"/>
        </w:rPr>
        <w:t>/s，大于5.39</w:t>
      </w:r>
      <w:r>
        <w:rPr>
          <w:rFonts w:hint="eastAsia"/>
          <w:color w:val="auto"/>
          <w:sz w:val="28"/>
          <w:szCs w:val="28"/>
          <w:vertAlign w:val="baseline"/>
          <w:lang w:val="en-US" w:eastAsia="zh-CN"/>
        </w:rPr>
        <w:t>m</w:t>
      </w:r>
      <w:r>
        <w:rPr>
          <w:rFonts w:hint="eastAsia"/>
          <w:color w:val="auto"/>
          <w:sz w:val="28"/>
          <w:szCs w:val="28"/>
          <w:vertAlign w:val="superscript"/>
          <w:lang w:val="en-US" w:eastAsia="zh-CN"/>
        </w:rPr>
        <w:t>3</w:t>
      </w:r>
      <w:r>
        <w:rPr>
          <w:rFonts w:hint="eastAsia"/>
          <w:color w:val="auto"/>
          <w:sz w:val="28"/>
          <w:szCs w:val="28"/>
          <w:lang w:val="en-US" w:eastAsia="zh-CN"/>
        </w:rPr>
        <w:t>/s，即库内洪水通过库面排水沟排至左岸截洪沟ZJ1-ZJ3段，也满足排洪要求。</w:t>
      </w:r>
    </w:p>
    <w:p w14:paraId="17E8FAFA">
      <w:pPr>
        <w:adjustRightInd w:val="0"/>
        <w:snapToGrid w:val="0"/>
        <w:ind w:firstLine="560"/>
        <w:rPr>
          <w:rFonts w:hint="eastAsia"/>
          <w:color w:val="auto"/>
          <w:sz w:val="28"/>
          <w:szCs w:val="28"/>
          <w:lang w:val="en-US" w:eastAsia="zh-CN"/>
        </w:rPr>
      </w:pPr>
      <w:r>
        <w:rPr>
          <w:rFonts w:hint="eastAsia"/>
          <w:color w:val="auto"/>
          <w:sz w:val="28"/>
          <w:szCs w:val="28"/>
          <w:lang w:val="en-US" w:eastAsia="zh-CN"/>
        </w:rPr>
        <w:t>综上所述，新修左岸截洪沟满足库区200年一遇排洪要求。</w:t>
      </w:r>
    </w:p>
    <w:p w14:paraId="66E47607">
      <w:pPr>
        <w:adjustRightInd w:val="0"/>
        <w:snapToGrid w:val="0"/>
        <w:ind w:firstLine="560"/>
        <w:rPr>
          <w:rFonts w:hint="eastAsia"/>
          <w:color w:val="auto"/>
          <w:sz w:val="28"/>
          <w:szCs w:val="28"/>
          <w:lang w:val="en-US" w:eastAsia="zh-CN"/>
        </w:rPr>
      </w:pPr>
      <w:r>
        <w:rPr>
          <w:rFonts w:hint="eastAsia"/>
          <w:color w:val="auto"/>
          <w:sz w:val="28"/>
          <w:szCs w:val="28"/>
          <w:lang w:val="en-US" w:eastAsia="zh-CN"/>
        </w:rPr>
        <w:t>2、库尾挡水坝</w:t>
      </w:r>
    </w:p>
    <w:p w14:paraId="4318F402">
      <w:pPr>
        <w:adjustRightInd w:val="0"/>
        <w:snapToGrid w:val="0"/>
        <w:ind w:firstLine="560"/>
        <w:rPr>
          <w:rFonts w:hint="eastAsia"/>
          <w:color w:val="auto"/>
          <w:sz w:val="28"/>
          <w:szCs w:val="28"/>
          <w:lang w:val="en-US" w:eastAsia="zh-CN"/>
        </w:rPr>
      </w:pPr>
      <w:r>
        <w:rPr>
          <w:rFonts w:hint="eastAsia"/>
          <w:color w:val="auto"/>
          <w:sz w:val="28"/>
          <w:szCs w:val="28"/>
          <w:lang w:val="en-US" w:eastAsia="zh-CN"/>
        </w:rPr>
        <w:t>根据施工总结报告，新建的挡水坝采用粉质黏土作为基础持力层。挡水坝顶宽1.5m，坝高3m（不含地面以下2m），坝顶标高1913.0m，内坡比1:0.2，外坡比1:0.4，m10浆砌石结构。</w:t>
      </w:r>
    </w:p>
    <w:p w14:paraId="699B02AB">
      <w:pPr>
        <w:adjustRightInd w:val="0"/>
        <w:snapToGrid w:val="0"/>
        <w:ind w:firstLine="560"/>
        <w:rPr>
          <w:rFonts w:hint="eastAsia"/>
          <w:color w:val="auto"/>
          <w:sz w:val="28"/>
          <w:szCs w:val="28"/>
          <w:lang w:val="en-US" w:eastAsia="zh-CN"/>
        </w:rPr>
      </w:pPr>
      <w:r>
        <w:rPr>
          <w:rFonts w:hint="eastAsia"/>
          <w:color w:val="auto"/>
          <w:sz w:val="28"/>
          <w:szCs w:val="28"/>
          <w:lang w:val="en-US" w:eastAsia="zh-CN"/>
        </w:rPr>
        <w:t>挡水坝稳定性计算主要依据勘察报告提供的岩土物理力学参数值（见表2-1）。</w:t>
      </w:r>
    </w:p>
    <w:p w14:paraId="3AB71966">
      <w:pPr>
        <w:adjustRightInd w:val="0"/>
        <w:snapToGrid w:val="0"/>
        <w:ind w:firstLine="560"/>
        <w:rPr>
          <w:rFonts w:hint="eastAsia"/>
          <w:color w:val="auto"/>
          <w:sz w:val="28"/>
          <w:szCs w:val="28"/>
        </w:rPr>
      </w:pPr>
      <w:r>
        <w:rPr>
          <w:rFonts w:hint="eastAsia"/>
          <w:color w:val="auto"/>
          <w:sz w:val="28"/>
          <w:szCs w:val="28"/>
        </w:rPr>
        <w:t>①计算条件：</w:t>
      </w:r>
    </w:p>
    <w:p w14:paraId="75F2274F">
      <w:pPr>
        <w:adjustRightInd w:val="0"/>
        <w:snapToGrid w:val="0"/>
        <w:ind w:firstLine="560"/>
        <w:rPr>
          <w:rFonts w:hint="eastAsia"/>
          <w:color w:val="auto"/>
          <w:sz w:val="28"/>
          <w:szCs w:val="28"/>
        </w:rPr>
      </w:pPr>
      <w:r>
        <w:rPr>
          <w:rFonts w:hint="eastAsia"/>
          <w:color w:val="auto"/>
          <w:sz w:val="28"/>
          <w:szCs w:val="28"/>
        </w:rPr>
        <w:t>采用理正软件验算浆砌石挡水坝稳定性计算。按库伦土压力计算将挡水坝运行情况分为现状条件及特殊运行条件进行计算。</w:t>
      </w:r>
    </w:p>
    <w:p w14:paraId="709AD2C1">
      <w:pPr>
        <w:adjustRightInd w:val="0"/>
        <w:snapToGrid w:val="0"/>
        <w:ind w:firstLine="560"/>
        <w:rPr>
          <w:rFonts w:hint="eastAsia"/>
          <w:color w:val="auto"/>
          <w:sz w:val="28"/>
          <w:szCs w:val="28"/>
        </w:rPr>
      </w:pPr>
      <w:r>
        <w:rPr>
          <w:rFonts w:hint="eastAsia"/>
          <w:color w:val="auto"/>
          <w:sz w:val="28"/>
          <w:szCs w:val="28"/>
        </w:rPr>
        <w:t>②稳定计算方法：</w:t>
      </w:r>
    </w:p>
    <w:p w14:paraId="32B680C9">
      <w:pPr>
        <w:adjustRightInd w:val="0"/>
        <w:snapToGrid w:val="0"/>
        <w:ind w:firstLine="560"/>
        <w:rPr>
          <w:rFonts w:hint="eastAsia"/>
          <w:color w:val="auto"/>
          <w:sz w:val="28"/>
          <w:szCs w:val="28"/>
        </w:rPr>
      </w:pPr>
      <w:r>
        <w:rPr>
          <w:rFonts w:hint="eastAsia"/>
          <w:color w:val="auto"/>
          <w:sz w:val="28"/>
          <w:szCs w:val="28"/>
        </w:rPr>
        <w:t>挡水坝稳定性计算利用理正软件进行计算。主要进行了挡水坝的抗滑稳定和抗倾覆稳定验算，计算公式如下：</w:t>
      </w:r>
    </w:p>
    <w:p w14:paraId="00287674">
      <w:pPr>
        <w:adjustRightInd w:val="0"/>
        <w:snapToGrid w:val="0"/>
        <w:ind w:firstLine="560"/>
        <w:rPr>
          <w:position w:val="-17"/>
        </w:rPr>
      </w:pPr>
      <w:r>
        <w:rPr>
          <w:position w:val="-17"/>
        </w:rPr>
        <w:drawing>
          <wp:inline distT="0" distB="0" distL="0" distR="0">
            <wp:extent cx="983615" cy="558800"/>
            <wp:effectExtent l="0" t="0" r="6985"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r:embed="rId72"/>
                    <a:stretch>
                      <a:fillRect/>
                    </a:stretch>
                  </pic:blipFill>
                  <pic:spPr>
                    <a:xfrm>
                      <a:off x="0" y="0"/>
                      <a:ext cx="984229" cy="558837"/>
                    </a:xfrm>
                    <a:prstGeom prst="rect">
                      <a:avLst/>
                    </a:prstGeom>
                  </pic:spPr>
                </pic:pic>
              </a:graphicData>
            </a:graphic>
          </wp:inline>
        </w:drawing>
      </w:r>
    </w:p>
    <w:p w14:paraId="68620914">
      <w:pPr>
        <w:adjustRightInd w:val="0"/>
        <w:snapToGrid w:val="0"/>
        <w:ind w:firstLine="560"/>
        <w:rPr>
          <w:rFonts w:hint="default"/>
          <w:color w:val="auto"/>
          <w:sz w:val="28"/>
          <w:szCs w:val="28"/>
          <w:lang w:val="en-US" w:eastAsia="zh-CN"/>
        </w:rPr>
      </w:pPr>
      <w:r>
        <w:rPr>
          <w:rFonts w:hint="default"/>
          <w:color w:val="auto"/>
          <w:sz w:val="28"/>
          <w:szCs w:val="28"/>
          <w:lang w:val="en-US" w:eastAsia="zh-CN"/>
        </w:rPr>
        <w:t>式中：</w:t>
      </w:r>
    </w:p>
    <w:p w14:paraId="10F8013A">
      <w:pPr>
        <w:adjustRightInd w:val="0"/>
        <w:snapToGrid w:val="0"/>
        <w:ind w:firstLine="560"/>
        <w:rPr>
          <w:rFonts w:hint="default"/>
          <w:color w:val="auto"/>
          <w:sz w:val="28"/>
          <w:szCs w:val="28"/>
          <w:lang w:val="en-US" w:eastAsia="zh-CN"/>
        </w:rPr>
      </w:pPr>
      <w:r>
        <w:rPr>
          <w:rFonts w:hint="default"/>
          <w:color w:val="auto"/>
          <w:sz w:val="28"/>
          <w:szCs w:val="28"/>
          <w:lang w:val="en-US" w:eastAsia="zh-CN"/>
        </w:rPr>
        <w:t>K坝体抗滑稳定安全系数；</w:t>
      </w:r>
    </w:p>
    <w:p w14:paraId="5522E854">
      <w:pPr>
        <w:adjustRightInd w:val="0"/>
        <w:snapToGrid w:val="0"/>
        <w:ind w:firstLine="560"/>
        <w:rPr>
          <w:rFonts w:hint="default"/>
          <w:color w:val="auto"/>
          <w:sz w:val="28"/>
          <w:szCs w:val="28"/>
          <w:lang w:val="en-US" w:eastAsia="zh-CN"/>
        </w:rPr>
      </w:pPr>
      <w:r>
        <w:rPr>
          <w:rFonts w:hint="default"/>
          <w:color w:val="auto"/>
          <w:sz w:val="28"/>
          <w:szCs w:val="28"/>
          <w:lang w:val="en-US" w:eastAsia="zh-CN"/>
        </w:rPr>
        <w:t>f——浆砌石与地基摩擦系数；</w:t>
      </w:r>
    </w:p>
    <w:p w14:paraId="72571D6A">
      <w:pPr>
        <w:adjustRightInd w:val="0"/>
        <w:snapToGrid w:val="0"/>
        <w:ind w:firstLine="560"/>
        <w:rPr>
          <w:rFonts w:hint="default"/>
          <w:color w:val="auto"/>
          <w:sz w:val="28"/>
          <w:szCs w:val="28"/>
          <w:lang w:val="en-US" w:eastAsia="zh-CN"/>
        </w:rPr>
      </w:pPr>
      <w:r>
        <w:rPr>
          <w:rFonts w:hint="default"/>
          <w:color w:val="auto"/>
          <w:sz w:val="28"/>
          <w:szCs w:val="28"/>
          <w:lang w:val="en-US" w:eastAsia="zh-CN"/>
        </w:rPr>
        <w:t>∑W竖向荷载总和；</w:t>
      </w:r>
    </w:p>
    <w:p w14:paraId="32FA32C9">
      <w:pPr>
        <w:adjustRightInd w:val="0"/>
        <w:snapToGrid w:val="0"/>
        <w:ind w:firstLine="560"/>
        <w:rPr>
          <w:rFonts w:hint="default"/>
          <w:color w:val="auto"/>
          <w:sz w:val="28"/>
          <w:szCs w:val="28"/>
          <w:lang w:val="en-US" w:eastAsia="zh-CN"/>
        </w:rPr>
      </w:pPr>
      <w:r>
        <w:rPr>
          <w:rFonts w:hint="default"/>
          <w:color w:val="auto"/>
          <w:sz w:val="28"/>
          <w:szCs w:val="28"/>
          <w:lang w:val="en-US" w:eastAsia="zh-CN"/>
        </w:rPr>
        <w:t>SP——水平荷载总和。</w:t>
      </w:r>
    </w:p>
    <w:p w14:paraId="64AFC7E3">
      <w:pPr>
        <w:adjustRightInd w:val="0"/>
        <w:snapToGrid w:val="0"/>
        <w:ind w:firstLine="560"/>
        <w:rPr>
          <w:rFonts w:hint="eastAsia"/>
          <w:color w:val="auto"/>
          <w:sz w:val="28"/>
          <w:szCs w:val="28"/>
        </w:rPr>
      </w:pPr>
      <w:r>
        <w:rPr>
          <w:rFonts w:hint="eastAsia"/>
          <w:color w:val="auto"/>
          <w:sz w:val="28"/>
          <w:szCs w:val="28"/>
        </w:rPr>
        <w:t>倾覆稳定计算公式：</w:t>
      </w:r>
    </w:p>
    <w:p w14:paraId="7E3BB714">
      <w:pPr>
        <w:adjustRightInd w:val="0"/>
        <w:snapToGrid w:val="0"/>
        <w:ind w:firstLine="560"/>
        <w:rPr>
          <w:position w:val="-14"/>
        </w:rPr>
      </w:pPr>
      <w:r>
        <w:rPr>
          <w:position w:val="-14"/>
        </w:rPr>
        <w:drawing>
          <wp:inline distT="0" distB="0" distL="0" distR="0">
            <wp:extent cx="2215515" cy="469265"/>
            <wp:effectExtent l="0" t="0" r="6985" b="635"/>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r:embed="rId73"/>
                    <a:stretch>
                      <a:fillRect/>
                    </a:stretch>
                  </pic:blipFill>
                  <pic:spPr>
                    <a:xfrm>
                      <a:off x="0" y="0"/>
                      <a:ext cx="2216141" cy="469868"/>
                    </a:xfrm>
                    <a:prstGeom prst="rect">
                      <a:avLst/>
                    </a:prstGeom>
                  </pic:spPr>
                </pic:pic>
              </a:graphicData>
            </a:graphic>
          </wp:inline>
        </w:drawing>
      </w:r>
    </w:p>
    <w:p w14:paraId="798A3117">
      <w:pPr>
        <w:adjustRightInd w:val="0"/>
        <w:snapToGrid w:val="0"/>
        <w:ind w:firstLine="560"/>
        <w:rPr>
          <w:rFonts w:hint="eastAsia"/>
          <w:color w:val="auto"/>
          <w:sz w:val="28"/>
          <w:szCs w:val="28"/>
          <w:lang w:val="en-US" w:eastAsia="zh-CN"/>
        </w:rPr>
      </w:pPr>
      <w:r>
        <w:rPr>
          <w:rFonts w:hint="eastAsia"/>
          <w:color w:val="auto"/>
          <w:sz w:val="28"/>
          <w:szCs w:val="28"/>
          <w:lang w:val="en-US" w:eastAsia="zh-CN"/>
        </w:rPr>
        <w:t>式中：</w:t>
      </w:r>
    </w:p>
    <w:p w14:paraId="67AC6E0E">
      <w:pPr>
        <w:adjustRightInd w:val="0"/>
        <w:snapToGrid w:val="0"/>
        <w:ind w:firstLine="560"/>
        <w:rPr>
          <w:rFonts w:hint="eastAsia"/>
          <w:color w:val="auto"/>
          <w:sz w:val="28"/>
          <w:szCs w:val="28"/>
          <w:lang w:val="en-US" w:eastAsia="zh-CN"/>
        </w:rPr>
      </w:pPr>
      <w:r>
        <w:rPr>
          <w:rFonts w:hint="eastAsia"/>
          <w:color w:val="auto"/>
          <w:sz w:val="28"/>
          <w:szCs w:val="28"/>
          <w:lang w:val="en-US" w:eastAsia="zh-CN"/>
        </w:rPr>
        <w:t>K——最小抗倾覆安全系数；</w:t>
      </w:r>
    </w:p>
    <w:p w14:paraId="10BF4F4A">
      <w:pPr>
        <w:adjustRightInd w:val="0"/>
        <w:snapToGrid w:val="0"/>
        <w:ind w:firstLine="560"/>
        <w:rPr>
          <w:rFonts w:hint="eastAsia"/>
          <w:color w:val="auto"/>
          <w:sz w:val="28"/>
          <w:szCs w:val="28"/>
          <w:lang w:val="en-US" w:eastAsia="zh-CN"/>
        </w:rPr>
      </w:pPr>
      <w:r>
        <w:rPr>
          <w:rFonts w:hint="eastAsia"/>
          <w:color w:val="auto"/>
          <w:sz w:val="28"/>
          <w:szCs w:val="28"/>
          <w:lang w:val="en-US" w:eastAsia="zh-CN"/>
        </w:rPr>
        <w:t>W坝体自重；</w:t>
      </w:r>
    </w:p>
    <w:p w14:paraId="1867B6CB">
      <w:pPr>
        <w:adjustRightInd w:val="0"/>
        <w:snapToGrid w:val="0"/>
        <w:ind w:firstLine="560"/>
        <w:rPr>
          <w:rFonts w:hint="eastAsia"/>
          <w:color w:val="auto"/>
          <w:sz w:val="28"/>
          <w:szCs w:val="28"/>
          <w:lang w:val="en-US" w:eastAsia="zh-CN"/>
        </w:rPr>
      </w:pPr>
      <w:r>
        <w:rPr>
          <w:rFonts w:hint="eastAsia"/>
          <w:color w:val="auto"/>
          <w:sz w:val="28"/>
          <w:szCs w:val="28"/>
          <w:lang w:val="en-US" w:eastAsia="zh-CN"/>
        </w:rPr>
        <w:t>Pay——作用于坝体的外部荷载的竖向分力；</w:t>
      </w:r>
    </w:p>
    <w:p w14:paraId="6861FD85">
      <w:pPr>
        <w:adjustRightInd w:val="0"/>
        <w:snapToGrid w:val="0"/>
        <w:ind w:firstLine="560"/>
        <w:rPr>
          <w:rFonts w:hint="eastAsia"/>
          <w:color w:val="auto"/>
          <w:sz w:val="28"/>
          <w:szCs w:val="28"/>
          <w:lang w:val="en-US" w:eastAsia="zh-CN"/>
        </w:rPr>
      </w:pPr>
      <w:r>
        <w:rPr>
          <w:rFonts w:hint="eastAsia"/>
          <w:color w:val="auto"/>
          <w:sz w:val="28"/>
          <w:szCs w:val="28"/>
          <w:lang w:val="en-US" w:eastAsia="zh-CN"/>
        </w:rPr>
        <w:t>Pax—作用于坝体的外部荷载的水平分力；</w:t>
      </w:r>
    </w:p>
    <w:p w14:paraId="0E91A9BE">
      <w:pPr>
        <w:adjustRightInd w:val="0"/>
        <w:snapToGrid w:val="0"/>
        <w:ind w:firstLine="560"/>
        <w:rPr>
          <w:rFonts w:hint="eastAsia"/>
          <w:color w:val="auto"/>
          <w:sz w:val="28"/>
          <w:szCs w:val="28"/>
          <w:lang w:val="en-US" w:eastAsia="zh-CN"/>
        </w:rPr>
      </w:pPr>
      <w:r>
        <w:rPr>
          <w:rFonts w:hint="eastAsia"/>
          <w:color w:val="auto"/>
          <w:sz w:val="28"/>
          <w:szCs w:val="28"/>
          <w:lang w:val="en-US" w:eastAsia="zh-CN"/>
        </w:rPr>
        <w:t>a——W对坝址点的力距，m;</w:t>
      </w:r>
    </w:p>
    <w:p w14:paraId="549268A5">
      <w:pPr>
        <w:adjustRightInd w:val="0"/>
        <w:snapToGrid w:val="0"/>
        <w:ind w:firstLine="560"/>
        <w:rPr>
          <w:rFonts w:hint="eastAsia"/>
          <w:color w:val="auto"/>
          <w:sz w:val="28"/>
          <w:szCs w:val="28"/>
          <w:lang w:val="en-US" w:eastAsia="zh-CN"/>
        </w:rPr>
      </w:pPr>
      <w:r>
        <w:rPr>
          <w:rFonts w:hint="eastAsia"/>
          <w:color w:val="auto"/>
          <w:sz w:val="28"/>
          <w:szCs w:val="28"/>
          <w:lang w:val="en-US" w:eastAsia="zh-CN"/>
        </w:rPr>
        <w:t>bPay对坝址点的力矩，m;</w:t>
      </w:r>
    </w:p>
    <w:p w14:paraId="2DD108E3">
      <w:pPr>
        <w:adjustRightInd w:val="0"/>
        <w:snapToGrid w:val="0"/>
        <w:ind w:firstLine="560"/>
        <w:rPr>
          <w:rFonts w:hint="eastAsia" w:ascii="Times New Roman" w:hAnsi="Times New Roman" w:eastAsia="宋体" w:cs="Times New Roman"/>
          <w:snapToGrid w:val="0"/>
          <w:color w:val="auto"/>
          <w:sz w:val="28"/>
          <w:szCs w:val="28"/>
          <w:lang w:val="en-US" w:eastAsia="zh-CN" w:bidi="ar-SA"/>
        </w:rPr>
      </w:pPr>
      <w:r>
        <w:rPr>
          <w:rFonts w:hint="eastAsia"/>
          <w:color w:val="auto"/>
          <w:sz w:val="28"/>
          <w:szCs w:val="28"/>
          <w:lang w:val="en-US" w:eastAsia="zh-CN"/>
        </w:rPr>
        <w:t>h——Pax对坝址点的力距，m。</w:t>
      </w:r>
    </w:p>
    <w:p w14:paraId="79AEE92C">
      <w:pPr>
        <w:bidi w:val="0"/>
        <w:rPr>
          <w:rFonts w:hint="eastAsia"/>
          <w:color w:val="auto"/>
          <w:lang w:eastAsia="zh-CN"/>
        </w:rPr>
      </w:pPr>
      <w:r>
        <w:rPr>
          <w:rFonts w:hint="eastAsia"/>
          <w:color w:val="auto"/>
          <w:lang w:eastAsia="zh-CN"/>
        </w:rPr>
        <w:t>③荷载组合：</w:t>
      </w:r>
    </w:p>
    <w:p w14:paraId="33D7E0A7">
      <w:pPr>
        <w:bidi w:val="0"/>
        <w:rPr>
          <w:rFonts w:hint="eastAsia"/>
          <w:color w:val="auto"/>
          <w:lang w:eastAsia="zh-CN"/>
        </w:rPr>
      </w:pPr>
      <w:r>
        <w:rPr>
          <w:rFonts w:hint="eastAsia"/>
          <w:color w:val="auto"/>
          <w:lang w:eastAsia="zh-CN"/>
        </w:rPr>
        <w:t>基本组合适用于正常运行情况，特殊组合Ⅰ适用于校核洪水位情况，特殊组合Ⅱ适用于地震情况。本次挡水坝稳定性分析仅采用正常运行情况和特殊组合Ⅱ进行稳定性复核。</w:t>
      </w:r>
    </w:p>
    <w:p w14:paraId="1882FB9E">
      <w:pPr>
        <w:bidi w:val="0"/>
        <w:rPr>
          <w:rFonts w:hint="eastAsia"/>
          <w:color w:val="auto"/>
          <w:lang w:eastAsia="zh-CN"/>
        </w:rPr>
      </w:pPr>
      <w:r>
        <w:rPr>
          <w:rFonts w:hint="eastAsia"/>
          <w:color w:val="auto"/>
          <w:lang w:eastAsia="zh-CN"/>
        </w:rPr>
        <w:t>④稳定性计算结果：</w:t>
      </w:r>
    </w:p>
    <w:p w14:paraId="56ED18DC">
      <w:pPr>
        <w:bidi w:val="0"/>
        <w:rPr>
          <w:rFonts w:hint="eastAsia"/>
          <w:color w:val="auto"/>
          <w:lang w:eastAsia="zh-CN"/>
        </w:rPr>
      </w:pPr>
      <w:r>
        <w:rPr>
          <w:rFonts w:hint="eastAsia"/>
          <w:color w:val="auto"/>
          <w:lang w:eastAsia="zh-CN"/>
        </w:rPr>
        <w:t>计算软件采用理正岩土计算5.1，计算结果按规范规定的安全系数进行对比。经计算，挡水坝在基本组合及特殊组合Ⅱ（7度）下的抗滑稳定和抗倾覆稳定均满足规范要求，并且有一定的裕度，说明挡水坝在运行过程中处于稳定状态。见表4-9。</w:t>
      </w:r>
    </w:p>
    <w:p w14:paraId="55DA205E">
      <w:pPr>
        <w:pStyle w:val="25"/>
        <w:spacing w:before="1" w:line="212" w:lineRule="auto"/>
        <w:ind w:left="2621"/>
        <w:rPr>
          <w:b/>
          <w:bCs/>
          <w:spacing w:val="-3"/>
          <w:sz w:val="24"/>
          <w:szCs w:val="24"/>
        </w:rPr>
        <w:sectPr>
          <w:headerReference r:id="rId13" w:type="default"/>
          <w:pgSz w:w="11906" w:h="16838"/>
          <w:pgMar w:top="1417" w:right="1474" w:bottom="1417" w:left="1361" w:header="964" w:footer="964" w:gutter="0"/>
          <w:pgNumType w:fmt="decimal"/>
          <w:cols w:space="425" w:num="1"/>
          <w:docGrid w:type="lines" w:linePitch="312" w:charSpace="0"/>
        </w:sectPr>
      </w:pPr>
    </w:p>
    <w:p w14:paraId="048DA988">
      <w:pPr>
        <w:pStyle w:val="25"/>
        <w:spacing w:before="1" w:line="212" w:lineRule="auto"/>
        <w:ind w:left="2621"/>
      </w:pPr>
      <w:r>
        <w:rPr>
          <w:b/>
          <w:bCs/>
          <w:spacing w:val="-3"/>
          <w:sz w:val="24"/>
          <w:szCs w:val="24"/>
        </w:rPr>
        <w:t>表4-9挡水坝安全系数计算成果表</w:t>
      </w:r>
    </w:p>
    <w:tbl>
      <w:tblPr>
        <w:tblStyle w:val="308"/>
        <w:tblW w:w="9061" w:type="dxa"/>
        <w:tblInd w:w="1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607"/>
        <w:gridCol w:w="1626"/>
        <w:gridCol w:w="1350"/>
        <w:gridCol w:w="1425"/>
        <w:gridCol w:w="1448"/>
        <w:gridCol w:w="1605"/>
      </w:tblGrid>
      <w:tr w14:paraId="5A0490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607" w:type="dxa"/>
            <w:vMerge w:val="restart"/>
            <w:tcBorders>
              <w:bottom w:val="nil"/>
            </w:tcBorders>
            <w:vAlign w:val="center"/>
          </w:tcPr>
          <w:p w14:paraId="197B11B2">
            <w:pPr>
              <w:keepNext w:val="0"/>
              <w:keepLines w:val="0"/>
              <w:pageBreakBefore w:val="0"/>
              <w:widowControl w:val="0"/>
              <w:kinsoku/>
              <w:wordWrap/>
              <w:overflowPunct/>
              <w:topLinePunct w:val="0"/>
              <w:autoSpaceDE/>
              <w:autoSpaceDN/>
              <w:bidi w:val="0"/>
              <w:adjustRightInd/>
              <w:snapToGrid w:val="0"/>
              <w:spacing w:before="202" w:line="440" w:lineRule="exact"/>
              <w:ind w:left="0" w:leftChars="0" w:right="311"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8"/>
                <w:sz w:val="24"/>
                <w:szCs w:val="24"/>
              </w:rPr>
              <w:t>计算方法</w:t>
            </w:r>
          </w:p>
        </w:tc>
        <w:tc>
          <w:tcPr>
            <w:tcW w:w="1626" w:type="dxa"/>
            <w:vMerge w:val="restart"/>
            <w:tcBorders>
              <w:bottom w:val="nil"/>
            </w:tcBorders>
            <w:vAlign w:val="center"/>
          </w:tcPr>
          <w:p w14:paraId="6CFE2A5E">
            <w:pPr>
              <w:keepNext w:val="0"/>
              <w:keepLines w:val="0"/>
              <w:pageBreakBefore w:val="0"/>
              <w:widowControl w:val="0"/>
              <w:kinsoku/>
              <w:wordWrap/>
              <w:overflowPunct/>
              <w:topLinePunct w:val="0"/>
              <w:autoSpaceDE/>
              <w:autoSpaceDN/>
              <w:bidi w:val="0"/>
              <w:adjustRightInd/>
              <w:snapToGrid w:val="0"/>
              <w:spacing w:before="78" w:line="440" w:lineRule="exac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5"/>
                <w:sz w:val="24"/>
                <w:szCs w:val="24"/>
              </w:rPr>
              <w:t>荷载组合</w:t>
            </w:r>
          </w:p>
        </w:tc>
        <w:tc>
          <w:tcPr>
            <w:tcW w:w="2775" w:type="dxa"/>
            <w:gridSpan w:val="2"/>
            <w:vAlign w:val="center"/>
          </w:tcPr>
          <w:p w14:paraId="1D20BF33">
            <w:pPr>
              <w:keepNext w:val="0"/>
              <w:keepLines w:val="0"/>
              <w:pageBreakBefore w:val="0"/>
              <w:widowControl w:val="0"/>
              <w:kinsoku/>
              <w:wordWrap/>
              <w:overflowPunct/>
              <w:topLinePunct w:val="0"/>
              <w:autoSpaceDE/>
              <w:autoSpaceDN/>
              <w:bidi w:val="0"/>
              <w:adjustRightInd/>
              <w:snapToGrid w:val="0"/>
              <w:spacing w:before="43" w:line="440" w:lineRule="exac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4"/>
                <w:sz w:val="24"/>
                <w:szCs w:val="24"/>
              </w:rPr>
              <w:t>规范允许值</w:t>
            </w:r>
          </w:p>
        </w:tc>
        <w:tc>
          <w:tcPr>
            <w:tcW w:w="3053" w:type="dxa"/>
            <w:gridSpan w:val="2"/>
            <w:vAlign w:val="center"/>
          </w:tcPr>
          <w:p w14:paraId="62A32772">
            <w:pPr>
              <w:keepNext w:val="0"/>
              <w:keepLines w:val="0"/>
              <w:pageBreakBefore w:val="0"/>
              <w:widowControl w:val="0"/>
              <w:kinsoku/>
              <w:wordWrap/>
              <w:overflowPunct/>
              <w:topLinePunct w:val="0"/>
              <w:autoSpaceDE/>
              <w:autoSpaceDN/>
              <w:bidi w:val="0"/>
              <w:adjustRightInd/>
              <w:snapToGrid w:val="0"/>
              <w:spacing w:before="43" w:line="440" w:lineRule="exac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5"/>
                <w:sz w:val="24"/>
                <w:szCs w:val="24"/>
              </w:rPr>
              <w:t>计算结果</w:t>
            </w:r>
          </w:p>
        </w:tc>
      </w:tr>
      <w:tr w14:paraId="0E166D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1607" w:type="dxa"/>
            <w:vMerge w:val="continue"/>
            <w:tcBorders>
              <w:top w:val="nil"/>
            </w:tcBorders>
            <w:vAlign w:val="center"/>
          </w:tcPr>
          <w:p w14:paraId="7445B6E4">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Theme="minorEastAsia" w:hAnsiTheme="minorEastAsia" w:eastAsiaTheme="minorEastAsia" w:cstheme="minorEastAsia"/>
                <w:sz w:val="24"/>
                <w:szCs w:val="24"/>
              </w:rPr>
            </w:pPr>
          </w:p>
        </w:tc>
        <w:tc>
          <w:tcPr>
            <w:tcW w:w="1626" w:type="dxa"/>
            <w:vMerge w:val="continue"/>
            <w:tcBorders>
              <w:top w:val="nil"/>
            </w:tcBorders>
            <w:vAlign w:val="center"/>
          </w:tcPr>
          <w:p w14:paraId="486F124A">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Theme="minorEastAsia" w:hAnsiTheme="minorEastAsia" w:eastAsiaTheme="minorEastAsia" w:cstheme="minorEastAsia"/>
                <w:sz w:val="24"/>
                <w:szCs w:val="24"/>
              </w:rPr>
            </w:pPr>
          </w:p>
        </w:tc>
        <w:tc>
          <w:tcPr>
            <w:tcW w:w="1350" w:type="dxa"/>
            <w:vAlign w:val="center"/>
          </w:tcPr>
          <w:p w14:paraId="72B5EB20">
            <w:pPr>
              <w:keepNext w:val="0"/>
              <w:keepLines w:val="0"/>
              <w:pageBreakBefore w:val="0"/>
              <w:widowControl w:val="0"/>
              <w:kinsoku/>
              <w:wordWrap/>
              <w:overflowPunct/>
              <w:topLinePunct w:val="0"/>
              <w:autoSpaceDE/>
              <w:autoSpaceDN/>
              <w:bidi w:val="0"/>
              <w:adjustRightInd/>
              <w:snapToGrid w:val="0"/>
              <w:spacing w:before="37" w:line="440" w:lineRule="exact"/>
              <w:ind w:left="0" w:leftChars="0" w:right="132" w:firstLine="0" w:firstLineChars="0"/>
              <w:jc w:val="center"/>
              <w:textAlignment w:val="auto"/>
              <w:rPr>
                <w:rFonts w:hint="eastAsia" w:asciiTheme="minorEastAsia" w:hAnsiTheme="minorEastAsia" w:eastAsiaTheme="minorEastAsia" w:cstheme="minorEastAsia"/>
                <w:b/>
                <w:bCs/>
                <w:spacing w:val="-4"/>
                <w:sz w:val="24"/>
                <w:szCs w:val="24"/>
              </w:rPr>
            </w:pPr>
            <w:r>
              <w:rPr>
                <w:rFonts w:hint="eastAsia" w:asciiTheme="minorEastAsia" w:hAnsiTheme="minorEastAsia" w:eastAsiaTheme="minorEastAsia" w:cstheme="minorEastAsia"/>
                <w:b/>
                <w:bCs/>
                <w:spacing w:val="-4"/>
                <w:sz w:val="24"/>
                <w:szCs w:val="24"/>
              </w:rPr>
              <w:t>抗滑稳定</w:t>
            </w:r>
          </w:p>
          <w:p w14:paraId="3EC80FD6">
            <w:pPr>
              <w:keepNext w:val="0"/>
              <w:keepLines w:val="0"/>
              <w:pageBreakBefore w:val="0"/>
              <w:widowControl w:val="0"/>
              <w:kinsoku/>
              <w:wordWrap/>
              <w:overflowPunct/>
              <w:topLinePunct w:val="0"/>
              <w:autoSpaceDE/>
              <w:autoSpaceDN/>
              <w:bidi w:val="0"/>
              <w:adjustRightInd/>
              <w:snapToGrid w:val="0"/>
              <w:spacing w:before="37" w:line="440" w:lineRule="exact"/>
              <w:ind w:left="0" w:leftChars="0" w:right="132"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4"/>
                <w:sz w:val="24"/>
                <w:szCs w:val="24"/>
              </w:rPr>
              <w:t>安</w:t>
            </w:r>
            <w:r>
              <w:rPr>
                <w:rFonts w:hint="eastAsia" w:asciiTheme="minorEastAsia" w:hAnsiTheme="minorEastAsia" w:eastAsiaTheme="minorEastAsia" w:cstheme="minorEastAsia"/>
                <w:b/>
                <w:bCs/>
                <w:spacing w:val="-5"/>
                <w:sz w:val="24"/>
                <w:szCs w:val="24"/>
              </w:rPr>
              <w:t>全系数</w:t>
            </w:r>
          </w:p>
        </w:tc>
        <w:tc>
          <w:tcPr>
            <w:tcW w:w="1425" w:type="dxa"/>
            <w:vAlign w:val="center"/>
          </w:tcPr>
          <w:p w14:paraId="7C590DBF">
            <w:pPr>
              <w:keepNext w:val="0"/>
              <w:keepLines w:val="0"/>
              <w:pageBreakBefore w:val="0"/>
              <w:widowControl w:val="0"/>
              <w:kinsoku/>
              <w:wordWrap/>
              <w:overflowPunct/>
              <w:topLinePunct w:val="0"/>
              <w:autoSpaceDE/>
              <w:autoSpaceDN/>
              <w:bidi w:val="0"/>
              <w:adjustRightInd/>
              <w:snapToGrid w:val="0"/>
              <w:spacing w:before="37" w:line="440" w:lineRule="exact"/>
              <w:ind w:left="0" w:leftChars="0" w:right="203" w:firstLine="0" w:firstLineChars="0"/>
              <w:jc w:val="center"/>
              <w:textAlignment w:val="auto"/>
              <w:rPr>
                <w:rFonts w:hint="eastAsia" w:asciiTheme="minorEastAsia" w:hAnsiTheme="minorEastAsia" w:eastAsiaTheme="minorEastAsia" w:cstheme="minorEastAsia"/>
                <w:b/>
                <w:bCs/>
                <w:spacing w:val="-4"/>
                <w:sz w:val="24"/>
                <w:szCs w:val="24"/>
              </w:rPr>
            </w:pPr>
            <w:r>
              <w:rPr>
                <w:rFonts w:hint="eastAsia" w:asciiTheme="minorEastAsia" w:hAnsiTheme="minorEastAsia" w:eastAsiaTheme="minorEastAsia" w:cstheme="minorEastAsia"/>
                <w:b/>
                <w:bCs/>
                <w:spacing w:val="-4"/>
                <w:sz w:val="24"/>
                <w:szCs w:val="24"/>
              </w:rPr>
              <w:t>抗倾覆</w:t>
            </w:r>
          </w:p>
          <w:p w14:paraId="26FB4AC3">
            <w:pPr>
              <w:keepNext w:val="0"/>
              <w:keepLines w:val="0"/>
              <w:pageBreakBefore w:val="0"/>
              <w:widowControl w:val="0"/>
              <w:kinsoku/>
              <w:wordWrap/>
              <w:overflowPunct/>
              <w:topLinePunct w:val="0"/>
              <w:autoSpaceDE/>
              <w:autoSpaceDN/>
              <w:bidi w:val="0"/>
              <w:adjustRightInd/>
              <w:snapToGrid w:val="0"/>
              <w:spacing w:before="37" w:line="440" w:lineRule="exact"/>
              <w:ind w:left="0" w:leftChars="0" w:right="203"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4"/>
                <w:sz w:val="24"/>
                <w:szCs w:val="24"/>
              </w:rPr>
              <w:t>安全</w:t>
            </w:r>
            <w:r>
              <w:rPr>
                <w:rFonts w:hint="eastAsia" w:asciiTheme="minorEastAsia" w:hAnsiTheme="minorEastAsia" w:eastAsiaTheme="minorEastAsia" w:cstheme="minorEastAsia"/>
                <w:b/>
                <w:bCs/>
                <w:spacing w:val="-10"/>
                <w:sz w:val="24"/>
                <w:szCs w:val="24"/>
              </w:rPr>
              <w:t>系数</w:t>
            </w:r>
          </w:p>
        </w:tc>
        <w:tc>
          <w:tcPr>
            <w:tcW w:w="1448" w:type="dxa"/>
            <w:vAlign w:val="center"/>
          </w:tcPr>
          <w:p w14:paraId="2809B75D">
            <w:pPr>
              <w:keepNext w:val="0"/>
              <w:keepLines w:val="0"/>
              <w:pageBreakBefore w:val="0"/>
              <w:widowControl w:val="0"/>
              <w:kinsoku/>
              <w:wordWrap/>
              <w:overflowPunct/>
              <w:topLinePunct w:val="0"/>
              <w:autoSpaceDE/>
              <w:autoSpaceDN/>
              <w:bidi w:val="0"/>
              <w:adjustRightInd/>
              <w:snapToGrid w:val="0"/>
              <w:spacing w:before="37" w:line="440" w:lineRule="exact"/>
              <w:ind w:left="0" w:leftChars="0" w:right="201" w:firstLine="0" w:firstLineChars="0"/>
              <w:jc w:val="center"/>
              <w:textAlignment w:val="auto"/>
              <w:rPr>
                <w:rFonts w:hint="eastAsia" w:asciiTheme="minorEastAsia" w:hAnsiTheme="minorEastAsia" w:eastAsiaTheme="minorEastAsia" w:cstheme="minorEastAsia"/>
                <w:b/>
                <w:bCs/>
                <w:spacing w:val="-4"/>
                <w:sz w:val="24"/>
                <w:szCs w:val="24"/>
              </w:rPr>
            </w:pPr>
            <w:r>
              <w:rPr>
                <w:rFonts w:hint="eastAsia" w:asciiTheme="minorEastAsia" w:hAnsiTheme="minorEastAsia" w:eastAsiaTheme="minorEastAsia" w:cstheme="minorEastAsia"/>
                <w:b/>
                <w:bCs/>
                <w:spacing w:val="-4"/>
                <w:sz w:val="24"/>
                <w:szCs w:val="24"/>
              </w:rPr>
              <w:t>抗滑稳定</w:t>
            </w:r>
          </w:p>
          <w:p w14:paraId="78C1321A">
            <w:pPr>
              <w:keepNext w:val="0"/>
              <w:keepLines w:val="0"/>
              <w:pageBreakBefore w:val="0"/>
              <w:widowControl w:val="0"/>
              <w:kinsoku/>
              <w:wordWrap/>
              <w:overflowPunct/>
              <w:topLinePunct w:val="0"/>
              <w:autoSpaceDE/>
              <w:autoSpaceDN/>
              <w:bidi w:val="0"/>
              <w:adjustRightInd/>
              <w:snapToGrid w:val="0"/>
              <w:spacing w:before="37" w:line="440" w:lineRule="exact"/>
              <w:ind w:left="0" w:leftChars="0" w:right="201"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4"/>
                <w:sz w:val="24"/>
                <w:szCs w:val="24"/>
              </w:rPr>
              <w:t>安</w:t>
            </w:r>
            <w:r>
              <w:rPr>
                <w:rFonts w:hint="eastAsia" w:asciiTheme="minorEastAsia" w:hAnsiTheme="minorEastAsia" w:eastAsiaTheme="minorEastAsia" w:cstheme="minorEastAsia"/>
                <w:b/>
                <w:bCs/>
                <w:spacing w:val="-5"/>
                <w:sz w:val="24"/>
                <w:szCs w:val="24"/>
              </w:rPr>
              <w:t>全系数</w:t>
            </w:r>
          </w:p>
        </w:tc>
        <w:tc>
          <w:tcPr>
            <w:tcW w:w="0" w:type="auto"/>
            <w:vAlign w:val="center"/>
          </w:tcPr>
          <w:p w14:paraId="2083B231">
            <w:pPr>
              <w:keepNext w:val="0"/>
              <w:keepLines w:val="0"/>
              <w:pageBreakBefore w:val="0"/>
              <w:widowControl w:val="0"/>
              <w:kinsoku/>
              <w:wordWrap/>
              <w:overflowPunct/>
              <w:topLinePunct w:val="0"/>
              <w:autoSpaceDE/>
              <w:autoSpaceDN/>
              <w:bidi w:val="0"/>
              <w:adjustRightInd/>
              <w:snapToGrid w:val="0"/>
              <w:spacing w:before="37" w:line="440" w:lineRule="exact"/>
              <w:ind w:left="0" w:leftChars="0" w:right="157" w:firstLine="0" w:firstLineChars="0"/>
              <w:jc w:val="center"/>
              <w:textAlignment w:val="auto"/>
              <w:rPr>
                <w:rFonts w:hint="eastAsia" w:asciiTheme="minorEastAsia" w:hAnsiTheme="minorEastAsia" w:eastAsiaTheme="minorEastAsia" w:cstheme="minorEastAsia"/>
                <w:b/>
                <w:bCs/>
                <w:spacing w:val="-4"/>
                <w:sz w:val="24"/>
                <w:szCs w:val="24"/>
              </w:rPr>
            </w:pPr>
            <w:r>
              <w:rPr>
                <w:rFonts w:hint="eastAsia" w:asciiTheme="minorEastAsia" w:hAnsiTheme="minorEastAsia" w:eastAsiaTheme="minorEastAsia" w:cstheme="minorEastAsia"/>
                <w:b/>
                <w:bCs/>
                <w:spacing w:val="-4"/>
                <w:sz w:val="24"/>
                <w:szCs w:val="24"/>
              </w:rPr>
              <w:t>抗倾覆</w:t>
            </w:r>
          </w:p>
          <w:p w14:paraId="70E1BC9C">
            <w:pPr>
              <w:keepNext w:val="0"/>
              <w:keepLines w:val="0"/>
              <w:pageBreakBefore w:val="0"/>
              <w:widowControl w:val="0"/>
              <w:kinsoku/>
              <w:wordWrap/>
              <w:overflowPunct/>
              <w:topLinePunct w:val="0"/>
              <w:autoSpaceDE/>
              <w:autoSpaceDN/>
              <w:bidi w:val="0"/>
              <w:adjustRightInd/>
              <w:snapToGrid w:val="0"/>
              <w:spacing w:before="37" w:line="440" w:lineRule="exact"/>
              <w:ind w:left="0" w:leftChars="0" w:right="157"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4"/>
                <w:sz w:val="24"/>
                <w:szCs w:val="24"/>
              </w:rPr>
              <w:t>安全系</w:t>
            </w:r>
            <w:r>
              <w:rPr>
                <w:rFonts w:hint="eastAsia" w:asciiTheme="minorEastAsia" w:hAnsiTheme="minorEastAsia" w:eastAsiaTheme="minorEastAsia" w:cstheme="minorEastAsia"/>
                <w:b/>
                <w:bCs/>
                <w:spacing w:val="-3"/>
                <w:sz w:val="24"/>
                <w:szCs w:val="24"/>
              </w:rPr>
              <w:t>数</w:t>
            </w:r>
          </w:p>
        </w:tc>
      </w:tr>
      <w:tr w14:paraId="2BE37B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607" w:type="dxa"/>
            <w:vAlign w:val="center"/>
          </w:tcPr>
          <w:p w14:paraId="76F6CE16">
            <w:pPr>
              <w:keepNext w:val="0"/>
              <w:keepLines w:val="0"/>
              <w:pageBreakBefore w:val="0"/>
              <w:widowControl w:val="0"/>
              <w:kinsoku/>
              <w:wordWrap/>
              <w:overflowPunct/>
              <w:topLinePunct w:val="0"/>
              <w:autoSpaceDE/>
              <w:autoSpaceDN/>
              <w:bidi w:val="0"/>
              <w:adjustRightInd/>
              <w:snapToGrid w:val="0"/>
              <w:spacing w:before="40" w:line="440" w:lineRule="exact"/>
              <w:ind w:left="0" w:leftChars="0" w:right="191"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4"/>
                <w:sz w:val="24"/>
                <w:szCs w:val="24"/>
              </w:rPr>
              <w:t>重力式挡土墙</w:t>
            </w:r>
          </w:p>
        </w:tc>
        <w:tc>
          <w:tcPr>
            <w:tcW w:w="1626" w:type="dxa"/>
            <w:vAlign w:val="center"/>
          </w:tcPr>
          <w:p w14:paraId="3F5C1858">
            <w:pPr>
              <w:keepNext w:val="0"/>
              <w:keepLines w:val="0"/>
              <w:pageBreakBefore w:val="0"/>
              <w:widowControl w:val="0"/>
              <w:kinsoku/>
              <w:wordWrap/>
              <w:overflowPunct/>
              <w:topLinePunct w:val="0"/>
              <w:autoSpaceDE/>
              <w:autoSpaceDN/>
              <w:bidi w:val="0"/>
              <w:adjustRightInd/>
              <w:snapToGrid w:val="0"/>
              <w:spacing w:before="196" w:line="440" w:lineRule="exac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3"/>
                <w:sz w:val="24"/>
                <w:szCs w:val="24"/>
              </w:rPr>
              <w:t>基本组合</w:t>
            </w:r>
          </w:p>
        </w:tc>
        <w:tc>
          <w:tcPr>
            <w:tcW w:w="1350" w:type="dxa"/>
            <w:vAlign w:val="center"/>
          </w:tcPr>
          <w:p w14:paraId="2954803B">
            <w:pPr>
              <w:pStyle w:val="81"/>
              <w:keepNext w:val="0"/>
              <w:keepLines w:val="0"/>
              <w:pageBreakBefore w:val="0"/>
              <w:widowControl w:val="0"/>
              <w:kinsoku/>
              <w:wordWrap/>
              <w:overflowPunct/>
              <w:topLinePunct w:val="0"/>
              <w:autoSpaceDE/>
              <w:autoSpaceDN/>
              <w:bidi w:val="0"/>
              <w:adjustRightInd/>
              <w:snapToGrid w:val="0"/>
              <w:spacing w:before="237" w:line="440" w:lineRule="exac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1.20</w:t>
            </w:r>
          </w:p>
        </w:tc>
        <w:tc>
          <w:tcPr>
            <w:tcW w:w="1425" w:type="dxa"/>
            <w:vAlign w:val="center"/>
          </w:tcPr>
          <w:p w14:paraId="31A414F5">
            <w:pPr>
              <w:pStyle w:val="81"/>
              <w:keepNext w:val="0"/>
              <w:keepLines w:val="0"/>
              <w:pageBreakBefore w:val="0"/>
              <w:widowControl w:val="0"/>
              <w:kinsoku/>
              <w:wordWrap/>
              <w:overflowPunct/>
              <w:topLinePunct w:val="0"/>
              <w:autoSpaceDE/>
              <w:autoSpaceDN/>
              <w:bidi w:val="0"/>
              <w:adjustRightInd/>
              <w:snapToGrid w:val="0"/>
              <w:spacing w:before="237" w:line="440" w:lineRule="exac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1.50</w:t>
            </w:r>
          </w:p>
        </w:tc>
        <w:tc>
          <w:tcPr>
            <w:tcW w:w="1448" w:type="dxa"/>
            <w:vAlign w:val="center"/>
          </w:tcPr>
          <w:p w14:paraId="0CA26BEB">
            <w:pPr>
              <w:pStyle w:val="81"/>
              <w:keepNext w:val="0"/>
              <w:keepLines w:val="0"/>
              <w:pageBreakBefore w:val="0"/>
              <w:widowControl w:val="0"/>
              <w:kinsoku/>
              <w:wordWrap/>
              <w:overflowPunct/>
              <w:topLinePunct w:val="0"/>
              <w:autoSpaceDE/>
              <w:autoSpaceDN/>
              <w:bidi w:val="0"/>
              <w:adjustRightInd/>
              <w:snapToGrid w:val="0"/>
              <w:spacing w:before="237" w:line="440" w:lineRule="exac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rPr>
              <w:t>3.321</w:t>
            </w:r>
          </w:p>
        </w:tc>
        <w:tc>
          <w:tcPr>
            <w:tcW w:w="0" w:type="auto"/>
            <w:vAlign w:val="center"/>
          </w:tcPr>
          <w:p w14:paraId="2CE62863">
            <w:pPr>
              <w:pStyle w:val="81"/>
              <w:keepNext w:val="0"/>
              <w:keepLines w:val="0"/>
              <w:pageBreakBefore w:val="0"/>
              <w:widowControl w:val="0"/>
              <w:kinsoku/>
              <w:wordWrap/>
              <w:overflowPunct/>
              <w:topLinePunct w:val="0"/>
              <w:autoSpaceDE/>
              <w:autoSpaceDN/>
              <w:bidi w:val="0"/>
              <w:adjustRightInd/>
              <w:snapToGrid w:val="0"/>
              <w:spacing w:before="237" w:line="440" w:lineRule="exac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rPr>
              <w:t>9.775</w:t>
            </w:r>
          </w:p>
        </w:tc>
      </w:tr>
      <w:tr w14:paraId="05D0A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1607" w:type="dxa"/>
            <w:vAlign w:val="center"/>
          </w:tcPr>
          <w:p w14:paraId="167D00F6">
            <w:pPr>
              <w:keepNext w:val="0"/>
              <w:keepLines w:val="0"/>
              <w:pageBreakBefore w:val="0"/>
              <w:widowControl w:val="0"/>
              <w:kinsoku/>
              <w:wordWrap/>
              <w:overflowPunct/>
              <w:topLinePunct w:val="0"/>
              <w:autoSpaceDE/>
              <w:autoSpaceDN/>
              <w:bidi w:val="0"/>
              <w:adjustRightInd/>
              <w:snapToGrid w:val="0"/>
              <w:spacing w:before="39" w:line="440" w:lineRule="exact"/>
              <w:ind w:left="0" w:leftChars="0" w:right="191"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4"/>
                <w:sz w:val="24"/>
                <w:szCs w:val="24"/>
              </w:rPr>
              <w:t>重力式挡土墙</w:t>
            </w:r>
          </w:p>
        </w:tc>
        <w:tc>
          <w:tcPr>
            <w:tcW w:w="1626" w:type="dxa"/>
            <w:vAlign w:val="center"/>
          </w:tcPr>
          <w:p w14:paraId="23DD4FE1">
            <w:pPr>
              <w:keepNext w:val="0"/>
              <w:keepLines w:val="0"/>
              <w:pageBreakBefore w:val="0"/>
              <w:widowControl w:val="0"/>
              <w:kinsoku/>
              <w:wordWrap/>
              <w:overflowPunct/>
              <w:topLinePunct w:val="0"/>
              <w:autoSpaceDE/>
              <w:autoSpaceDN/>
              <w:bidi w:val="0"/>
              <w:adjustRightInd/>
              <w:snapToGrid w:val="0"/>
              <w:spacing w:before="39" w:line="440" w:lineRule="exact"/>
              <w:ind w:left="0" w:leftChars="0" w:right="20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3"/>
                <w:sz w:val="24"/>
                <w:szCs w:val="24"/>
              </w:rPr>
              <w:t>特殊组合</w:t>
            </w:r>
            <w:r>
              <w:rPr>
                <w:rFonts w:hint="eastAsia" w:asciiTheme="minorEastAsia" w:hAnsiTheme="minorEastAsia" w:eastAsiaTheme="minorEastAsia" w:cstheme="minorEastAsia"/>
                <w:sz w:val="24"/>
                <w:szCs w:val="24"/>
              </w:rPr>
              <w:t>Ⅱ</w:t>
            </w:r>
          </w:p>
        </w:tc>
        <w:tc>
          <w:tcPr>
            <w:tcW w:w="1350" w:type="dxa"/>
            <w:vAlign w:val="center"/>
          </w:tcPr>
          <w:p w14:paraId="56A4AA73">
            <w:pPr>
              <w:pStyle w:val="81"/>
              <w:keepNext w:val="0"/>
              <w:keepLines w:val="0"/>
              <w:pageBreakBefore w:val="0"/>
              <w:widowControl w:val="0"/>
              <w:kinsoku/>
              <w:wordWrap/>
              <w:overflowPunct/>
              <w:topLinePunct w:val="0"/>
              <w:autoSpaceDE/>
              <w:autoSpaceDN/>
              <w:bidi w:val="0"/>
              <w:adjustRightInd/>
              <w:snapToGrid w:val="0"/>
              <w:spacing w:before="238" w:line="440" w:lineRule="exac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1.10</w:t>
            </w:r>
          </w:p>
        </w:tc>
        <w:tc>
          <w:tcPr>
            <w:tcW w:w="1425" w:type="dxa"/>
            <w:vAlign w:val="center"/>
          </w:tcPr>
          <w:p w14:paraId="7451311E">
            <w:pPr>
              <w:pStyle w:val="81"/>
              <w:keepNext w:val="0"/>
              <w:keepLines w:val="0"/>
              <w:pageBreakBefore w:val="0"/>
              <w:widowControl w:val="0"/>
              <w:kinsoku/>
              <w:wordWrap/>
              <w:overflowPunct/>
              <w:topLinePunct w:val="0"/>
              <w:autoSpaceDE/>
              <w:autoSpaceDN/>
              <w:bidi w:val="0"/>
              <w:adjustRightInd/>
              <w:snapToGrid w:val="0"/>
              <w:spacing w:before="238" w:line="440" w:lineRule="exac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1.20</w:t>
            </w:r>
          </w:p>
        </w:tc>
        <w:tc>
          <w:tcPr>
            <w:tcW w:w="1448" w:type="dxa"/>
            <w:vAlign w:val="center"/>
          </w:tcPr>
          <w:p w14:paraId="3C6260A5">
            <w:pPr>
              <w:pStyle w:val="81"/>
              <w:keepNext w:val="0"/>
              <w:keepLines w:val="0"/>
              <w:pageBreakBefore w:val="0"/>
              <w:widowControl w:val="0"/>
              <w:kinsoku/>
              <w:wordWrap/>
              <w:overflowPunct/>
              <w:topLinePunct w:val="0"/>
              <w:autoSpaceDE/>
              <w:autoSpaceDN/>
              <w:bidi w:val="0"/>
              <w:adjustRightInd/>
              <w:snapToGrid w:val="0"/>
              <w:spacing w:before="238" w:line="440" w:lineRule="exac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rPr>
              <w:t>2.254</w:t>
            </w:r>
          </w:p>
        </w:tc>
        <w:tc>
          <w:tcPr>
            <w:tcW w:w="0" w:type="auto"/>
            <w:vAlign w:val="center"/>
          </w:tcPr>
          <w:p w14:paraId="04BC573A">
            <w:pPr>
              <w:pStyle w:val="81"/>
              <w:keepNext w:val="0"/>
              <w:keepLines w:val="0"/>
              <w:pageBreakBefore w:val="0"/>
              <w:widowControl w:val="0"/>
              <w:kinsoku/>
              <w:wordWrap/>
              <w:overflowPunct/>
              <w:topLinePunct w:val="0"/>
              <w:autoSpaceDE/>
              <w:autoSpaceDN/>
              <w:bidi w:val="0"/>
              <w:adjustRightInd/>
              <w:snapToGrid w:val="0"/>
              <w:spacing w:before="238" w:line="440" w:lineRule="exac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rPr>
              <w:t>7.927</w:t>
            </w:r>
          </w:p>
        </w:tc>
      </w:tr>
    </w:tbl>
    <w:p w14:paraId="0BE15DE9">
      <w:pPr>
        <w:numPr>
          <w:ilvl w:val="0"/>
          <w:numId w:val="0"/>
        </w:numPr>
        <w:adjustRightInd w:val="0"/>
        <w:snapToGrid w:val="0"/>
        <w:ind w:firstLine="560" w:firstLineChars="200"/>
        <w:rPr>
          <w:rFonts w:hint="eastAsia"/>
          <w:color w:val="auto"/>
          <w:sz w:val="28"/>
          <w:szCs w:val="28"/>
        </w:rPr>
      </w:pPr>
      <w:r>
        <w:rPr>
          <w:rFonts w:hint="eastAsia" w:ascii="Times New Roman" w:hAnsi="Times New Roman" w:eastAsia="宋体" w:cs="Times New Roman"/>
          <w:snapToGrid w:val="0"/>
          <w:color w:val="auto"/>
          <w:sz w:val="28"/>
          <w:szCs w:val="28"/>
          <w:lang w:val="en-US" w:eastAsia="zh-CN" w:bidi="ar-SA"/>
        </w:rPr>
        <w:t>3、</w:t>
      </w:r>
      <w:r>
        <w:rPr>
          <w:rFonts w:hint="eastAsia"/>
          <w:color w:val="auto"/>
          <w:sz w:val="28"/>
          <w:szCs w:val="28"/>
        </w:rPr>
        <w:t>库内排洪设施</w:t>
      </w:r>
    </w:p>
    <w:p w14:paraId="65794B51">
      <w:pPr>
        <w:bidi w:val="0"/>
        <w:rPr>
          <w:rFonts w:hint="default"/>
          <w:color w:val="auto"/>
          <w:lang w:val="en-US" w:eastAsia="zh-CN"/>
        </w:rPr>
      </w:pPr>
      <w:r>
        <w:rPr>
          <w:rFonts w:hint="default"/>
          <w:color w:val="auto"/>
          <w:lang w:val="en-US" w:eastAsia="zh-CN"/>
        </w:rPr>
        <w:t>库面排水沟断面为0.8</w:t>
      </w:r>
      <w:r>
        <w:rPr>
          <w:rFonts w:hint="eastAsia"/>
          <w:color w:val="auto"/>
          <w:lang w:val="en-US" w:eastAsia="zh-CN"/>
        </w:rPr>
        <w:t>m</w:t>
      </w:r>
      <w:r>
        <w:rPr>
          <w:rFonts w:hint="default"/>
          <w:color w:val="auto"/>
          <w:lang w:val="en-US" w:eastAsia="zh-CN"/>
        </w:rPr>
        <w:t>*0.8</w:t>
      </w:r>
      <w:r>
        <w:rPr>
          <w:rFonts w:hint="eastAsia"/>
          <w:color w:val="auto"/>
          <w:lang w:val="en-US" w:eastAsia="zh-CN"/>
        </w:rPr>
        <w:t>m</w:t>
      </w:r>
      <w:r>
        <w:rPr>
          <w:rFonts w:hint="default"/>
          <w:color w:val="auto"/>
          <w:lang w:val="en-US" w:eastAsia="zh-CN"/>
        </w:rPr>
        <w:t>，砖砌结构，最小坡度1%，采用1:2水泥砂浆抹面，其排水能力在1.61</w:t>
      </w:r>
      <w:r>
        <w:rPr>
          <w:rFonts w:hint="eastAsia"/>
          <w:color w:val="auto"/>
          <w:vertAlign w:val="baseline"/>
          <w:lang w:val="en-US" w:eastAsia="zh-CN"/>
        </w:rPr>
        <w:t>m</w:t>
      </w:r>
      <w:r>
        <w:rPr>
          <w:rFonts w:hint="eastAsia"/>
          <w:color w:val="auto"/>
          <w:vertAlign w:val="superscript"/>
          <w:lang w:val="en-US" w:eastAsia="zh-CN"/>
        </w:rPr>
        <w:t>3</w:t>
      </w:r>
      <w:r>
        <w:rPr>
          <w:rFonts w:hint="default"/>
          <w:color w:val="auto"/>
          <w:lang w:val="en-US" w:eastAsia="zh-CN"/>
        </w:rPr>
        <w:t>/s以上，大于库内200年一遇的洪峰流量1.54</w:t>
      </w:r>
      <w:r>
        <w:rPr>
          <w:rFonts w:hint="eastAsia"/>
          <w:color w:val="auto"/>
          <w:vertAlign w:val="baseline"/>
          <w:lang w:val="en-US" w:eastAsia="zh-CN"/>
        </w:rPr>
        <w:t>m</w:t>
      </w:r>
      <w:r>
        <w:rPr>
          <w:rFonts w:hint="eastAsia"/>
          <w:color w:val="auto"/>
          <w:vertAlign w:val="superscript"/>
          <w:lang w:val="en-US" w:eastAsia="zh-CN"/>
        </w:rPr>
        <w:t>3</w:t>
      </w:r>
      <w:r>
        <w:rPr>
          <w:rFonts w:hint="default"/>
          <w:color w:val="auto"/>
          <w:lang w:val="en-US" w:eastAsia="zh-CN"/>
        </w:rPr>
        <w:t>/s，可保证库内雨水顺利排出。</w:t>
      </w:r>
    </w:p>
    <w:p w14:paraId="368544D8">
      <w:pPr>
        <w:bidi w:val="0"/>
        <w:rPr>
          <w:rFonts w:hint="default"/>
          <w:color w:val="auto"/>
          <w:lang w:val="en-US" w:eastAsia="zh-CN"/>
        </w:rPr>
      </w:pPr>
      <w:r>
        <w:rPr>
          <w:rFonts w:hint="default"/>
          <w:color w:val="auto"/>
          <w:lang w:val="en-US" w:eastAsia="zh-CN"/>
        </w:rPr>
        <w:t>库面雨水沟断面为0.4</w:t>
      </w:r>
      <w:r>
        <w:rPr>
          <w:rFonts w:hint="eastAsia"/>
          <w:color w:val="auto"/>
          <w:lang w:val="en-US" w:eastAsia="zh-CN"/>
        </w:rPr>
        <w:t>m</w:t>
      </w:r>
      <w:r>
        <w:rPr>
          <w:rFonts w:hint="default"/>
          <w:color w:val="auto"/>
          <w:lang w:val="en-US" w:eastAsia="zh-CN"/>
        </w:rPr>
        <w:t>*0.4</w:t>
      </w:r>
      <w:r>
        <w:rPr>
          <w:rFonts w:hint="eastAsia"/>
          <w:color w:val="auto"/>
          <w:lang w:val="en-US" w:eastAsia="zh-CN"/>
        </w:rPr>
        <w:t>m</w:t>
      </w:r>
      <w:r>
        <w:rPr>
          <w:rFonts w:hint="default"/>
          <w:color w:val="auto"/>
          <w:lang w:val="en-US" w:eastAsia="zh-CN"/>
        </w:rPr>
        <w:t>，砖砌结构，最小坡度1%，采用1:2水泥砂浆抹面，主要起导流作用。</w:t>
      </w:r>
    </w:p>
    <w:p w14:paraId="525F3929">
      <w:pPr>
        <w:pStyle w:val="6"/>
        <w:outlineLvl w:val="3"/>
        <w:rPr>
          <w:color w:val="auto"/>
        </w:rPr>
      </w:pPr>
      <w:r>
        <w:rPr>
          <w:rFonts w:hint="eastAsia"/>
          <w:color w:val="auto"/>
          <w:lang w:val="en-US" w:eastAsia="zh-CN"/>
        </w:rPr>
        <w:t>闭库防洪结论</w:t>
      </w:r>
    </w:p>
    <w:p w14:paraId="42F7E0DD">
      <w:pPr>
        <w:adjustRightInd w:val="0"/>
        <w:snapToGrid w:val="0"/>
        <w:ind w:firstLine="560"/>
        <w:rPr>
          <w:color w:val="auto"/>
        </w:rPr>
      </w:pPr>
      <w:r>
        <w:rPr>
          <w:rFonts w:hint="eastAsia"/>
          <w:color w:val="auto"/>
          <w:sz w:val="28"/>
          <w:szCs w:val="28"/>
        </w:rPr>
        <w:t>闭库后左岸截洪沟、</w:t>
      </w:r>
      <w:r>
        <w:rPr>
          <w:rFonts w:hint="eastAsia"/>
          <w:color w:val="auto"/>
          <w:sz w:val="28"/>
          <w:szCs w:val="28"/>
          <w:lang w:val="en-US" w:eastAsia="zh-CN"/>
        </w:rPr>
        <w:t>挡水坝、库内排水设施</w:t>
      </w:r>
      <w:r>
        <w:rPr>
          <w:rFonts w:hint="eastAsia"/>
          <w:color w:val="auto"/>
          <w:sz w:val="28"/>
          <w:szCs w:val="28"/>
        </w:rPr>
        <w:t>均能满足尾矿库</w:t>
      </w:r>
      <w:r>
        <w:rPr>
          <w:rFonts w:hint="eastAsia"/>
          <w:color w:val="auto"/>
          <w:sz w:val="28"/>
          <w:szCs w:val="28"/>
          <w:lang w:val="en-US" w:eastAsia="zh-CN"/>
        </w:rPr>
        <w:t>2</w:t>
      </w:r>
      <w:r>
        <w:rPr>
          <w:rFonts w:hint="eastAsia"/>
          <w:color w:val="auto"/>
          <w:sz w:val="28"/>
          <w:szCs w:val="28"/>
        </w:rPr>
        <w:t>00年洪水重现期的防洪要求，尾矿库防洪安全有保障。</w:t>
      </w:r>
    </w:p>
    <w:p w14:paraId="72580996">
      <w:pPr>
        <w:pStyle w:val="5"/>
        <w:bidi w:val="0"/>
        <w:rPr>
          <w:color w:val="auto"/>
        </w:rPr>
      </w:pPr>
      <w:bookmarkStart w:id="482" w:name="_Toc10576"/>
      <w:r>
        <w:rPr>
          <w:color w:val="auto"/>
        </w:rPr>
        <w:t>单元小结</w:t>
      </w:r>
      <w:bookmarkEnd w:id="481"/>
      <w:bookmarkEnd w:id="482"/>
    </w:p>
    <w:p w14:paraId="036A201B">
      <w:pPr>
        <w:bidi w:val="0"/>
        <w:rPr>
          <w:color w:val="auto"/>
        </w:rPr>
      </w:pPr>
      <w:r>
        <w:rPr>
          <w:rFonts w:hint="eastAsia"/>
          <w:color w:val="auto"/>
          <w:lang w:val="en-US" w:eastAsia="zh-CN"/>
        </w:rPr>
        <w:t>元谋县大远矿业有限公司红坡铁矿选厂尾矿库</w:t>
      </w:r>
      <w:r>
        <w:rPr>
          <w:color w:val="auto"/>
        </w:rPr>
        <w:t>闭库后的防洪工程，经评价人员现场</w:t>
      </w:r>
      <w:r>
        <w:rPr>
          <w:rFonts w:hint="eastAsia"/>
          <w:color w:val="auto"/>
          <w:lang w:eastAsia="zh-CN"/>
        </w:rPr>
        <w:t>察看</w:t>
      </w:r>
      <w:r>
        <w:rPr>
          <w:color w:val="auto"/>
        </w:rPr>
        <w:t>，</w:t>
      </w:r>
      <w:r>
        <w:rPr>
          <w:rFonts w:hint="eastAsia"/>
          <w:color w:val="auto"/>
          <w:lang w:val="en-US" w:eastAsia="zh-CN"/>
        </w:rPr>
        <w:t>库尾挡水坝已修筑，左岸截洪沟已建设，坝面雨水沟、排水沟已建设，原排水斜槽入口、排水涵洞出口已封堵，坝上排水沟、坝肩沟已疏通修缮</w:t>
      </w:r>
      <w:r>
        <w:rPr>
          <w:color w:val="auto"/>
        </w:rPr>
        <w:t>。</w:t>
      </w:r>
    </w:p>
    <w:p w14:paraId="6FD89D37">
      <w:pPr>
        <w:bidi w:val="0"/>
        <w:rPr>
          <w:rFonts w:hint="eastAsia"/>
          <w:color w:val="auto"/>
          <w:lang w:val="en-US" w:eastAsia="zh-CN"/>
        </w:rPr>
      </w:pPr>
      <w:r>
        <w:rPr>
          <w:color w:val="auto"/>
        </w:rPr>
        <w:t>针对尾矿库防排洪系统符合性检查表内的</w:t>
      </w:r>
      <w:r>
        <w:rPr>
          <w:rFonts w:hint="eastAsia"/>
          <w:color w:val="auto"/>
          <w:lang w:val="en-US" w:eastAsia="zh-CN"/>
        </w:rPr>
        <w:t>9</w:t>
      </w:r>
      <w:r>
        <w:rPr>
          <w:color w:val="auto"/>
        </w:rPr>
        <w:t>项进行检查，其中合格</w:t>
      </w:r>
      <w:r>
        <w:rPr>
          <w:rFonts w:hint="eastAsia"/>
          <w:color w:val="auto"/>
          <w:lang w:val="en-US" w:eastAsia="zh-CN"/>
        </w:rPr>
        <w:t>9</w:t>
      </w:r>
      <w:r>
        <w:rPr>
          <w:color w:val="auto"/>
        </w:rPr>
        <w:t>项</w:t>
      </w:r>
      <w:r>
        <w:rPr>
          <w:rFonts w:hint="eastAsia"/>
          <w:color w:val="auto"/>
          <w:lang w:val="en-US" w:eastAsia="zh-CN"/>
        </w:rPr>
        <w:t>。</w:t>
      </w:r>
    </w:p>
    <w:p w14:paraId="24786558">
      <w:pPr>
        <w:bidi w:val="0"/>
        <w:rPr>
          <w:rFonts w:hint="eastAsia"/>
          <w:color w:val="auto"/>
          <w:lang w:val="en-US" w:eastAsia="zh-CN"/>
        </w:rPr>
      </w:pPr>
      <w:r>
        <w:rPr>
          <w:rFonts w:hint="eastAsia"/>
          <w:color w:val="auto"/>
          <w:lang w:val="en-US" w:eastAsia="zh-CN"/>
        </w:rPr>
        <w:t>经评价认为：尾矿库防洪标准采用设计洪水频率（四等库标准）为200年一遇，校核洪水频率为200年一遇，满足规范要求；洪水计算、水文计算及调洪演算所选择的相关参</w:t>
      </w:r>
      <w:r>
        <w:rPr>
          <w:rFonts w:hint="eastAsia"/>
          <w:color w:val="auto"/>
          <w:highlight w:val="none"/>
          <w:lang w:val="en-US" w:eastAsia="zh-CN"/>
        </w:rPr>
        <w:t>数满足要求。尾矿库自2024年1月建设完成，</w:t>
      </w:r>
      <w:r>
        <w:rPr>
          <w:rFonts w:hint="eastAsia"/>
          <w:color w:val="auto"/>
          <w:lang w:val="en-US" w:eastAsia="zh-CN"/>
        </w:rPr>
        <w:t>防洪排水系统现状运行稳定，防排洪能力符合设计、规范要求。</w:t>
      </w:r>
    </w:p>
    <w:p w14:paraId="50F2057F">
      <w:pPr>
        <w:bidi w:val="0"/>
        <w:rPr>
          <w:color w:val="auto"/>
        </w:rPr>
      </w:pPr>
      <w:r>
        <w:rPr>
          <w:color w:val="auto"/>
        </w:rPr>
        <w:t>经评价分析尾矿库防排洪安全评价单元具备安全验收条件。</w:t>
      </w:r>
    </w:p>
    <w:p w14:paraId="20639F12">
      <w:pPr>
        <w:pStyle w:val="4"/>
        <w:bidi w:val="0"/>
        <w:rPr>
          <w:rFonts w:hint="default"/>
          <w:color w:val="auto"/>
          <w:lang w:val="en-US" w:eastAsia="zh-CN"/>
        </w:rPr>
      </w:pPr>
      <w:bookmarkStart w:id="483" w:name="_Toc17440"/>
      <w:bookmarkStart w:id="484" w:name="_Toc14362"/>
      <w:r>
        <w:rPr>
          <w:rFonts w:hint="eastAsia"/>
          <w:color w:val="auto"/>
          <w:lang w:val="en-US" w:eastAsia="zh-CN"/>
        </w:rPr>
        <w:t>地质灾害防护设施单元</w:t>
      </w:r>
      <w:bookmarkEnd w:id="483"/>
      <w:bookmarkEnd w:id="484"/>
    </w:p>
    <w:p w14:paraId="6A3A64BD">
      <w:pPr>
        <w:pStyle w:val="5"/>
        <w:bidi w:val="0"/>
        <w:rPr>
          <w:rFonts w:hint="eastAsia"/>
          <w:color w:val="auto"/>
          <w:lang w:val="en-US" w:eastAsia="zh-CN"/>
        </w:rPr>
      </w:pPr>
      <w:bookmarkStart w:id="485" w:name="_Toc13277"/>
      <w:r>
        <w:rPr>
          <w:rFonts w:hint="eastAsia"/>
          <w:color w:val="auto"/>
          <w:lang w:val="en-US" w:eastAsia="zh-CN"/>
        </w:rPr>
        <w:t>库区工程地质条件评价</w:t>
      </w:r>
      <w:bookmarkEnd w:id="485"/>
    </w:p>
    <w:p w14:paraId="12302509">
      <w:pPr>
        <w:pStyle w:val="6"/>
        <w:bidi w:val="0"/>
        <w:rPr>
          <w:rFonts w:hint="eastAsia"/>
          <w:color w:val="auto"/>
          <w:lang w:val="en-US" w:eastAsia="zh-CN"/>
        </w:rPr>
      </w:pPr>
      <w:r>
        <w:rPr>
          <w:rFonts w:hint="eastAsia"/>
          <w:color w:val="auto"/>
          <w:lang w:val="en-US" w:eastAsia="zh-CN"/>
        </w:rPr>
        <w:t>库区渗漏</w:t>
      </w:r>
    </w:p>
    <w:p w14:paraId="2DDA7EEA">
      <w:pPr>
        <w:rPr>
          <w:rFonts w:hint="eastAsia"/>
          <w:lang w:val="en-US" w:eastAsia="zh-CN"/>
        </w:rPr>
      </w:pPr>
      <w:r>
        <w:rPr>
          <w:rFonts w:hint="eastAsia"/>
          <w:lang w:val="en-US" w:eastAsia="zh-CN"/>
        </w:rPr>
        <w:t>库区两侧斜坡和库底主要为元古界龙川群普登组（Pt1Lp）强风化千枚岩、中等风化千枚岩，为隔水层（不透－弱－中等透水层），故不存在向两侧临谷侧向渗漏问题，也不存在向下渗漏问题。而坝肩依托较雄厚的山体，坝肩岩土层为强风化千枚岩、中等风化千枚岩，渗透系数小，产生绕坝渗漏的渗漏量一般较小。</w:t>
      </w:r>
    </w:p>
    <w:p w14:paraId="2A26702D">
      <w:pPr>
        <w:rPr>
          <w:rFonts w:hint="eastAsia"/>
          <w:lang w:val="en-US" w:eastAsia="zh-CN"/>
        </w:rPr>
      </w:pPr>
      <w:r>
        <w:rPr>
          <w:rFonts w:hint="eastAsia"/>
          <w:lang w:val="en-US" w:eastAsia="zh-CN"/>
        </w:rPr>
        <w:t>综上所述，尾矿库场地整体为稳定场地，基本适宜本项目工程建设。</w:t>
      </w:r>
    </w:p>
    <w:p w14:paraId="020557F8">
      <w:pPr>
        <w:pStyle w:val="6"/>
        <w:bidi w:val="0"/>
        <w:rPr>
          <w:rFonts w:hint="eastAsia"/>
          <w:color w:val="auto"/>
          <w:lang w:val="en-US" w:eastAsia="zh-CN"/>
        </w:rPr>
      </w:pPr>
      <w:r>
        <w:rPr>
          <w:rFonts w:hint="eastAsia"/>
          <w:color w:val="auto"/>
          <w:lang w:val="en-US" w:eastAsia="zh-CN"/>
        </w:rPr>
        <w:t>库岸稳定性及适宜性评价</w:t>
      </w:r>
    </w:p>
    <w:p w14:paraId="56AEF29D">
      <w:pPr>
        <w:bidi w:val="0"/>
        <w:rPr>
          <w:rFonts w:hint="eastAsia"/>
          <w:color w:val="auto"/>
          <w:lang w:val="en-US" w:eastAsia="zh-CN"/>
        </w:rPr>
      </w:pPr>
      <w:r>
        <w:rPr>
          <w:rFonts w:hint="eastAsia"/>
          <w:color w:val="auto"/>
          <w:lang w:val="en-US" w:eastAsia="zh-CN"/>
        </w:rPr>
        <w:t>根据野外工程地质调查及测绘表明，尾矿库两岸斜坡未发现有滑坡、泥石流等影响库区、坝体安全的不良地质作用，两岸岩体工程性质较好，库区两岸均为灌木丛覆盖，植被良好，林草覆盖率达80%以上；现状条件下整体处于稳定状态。</w:t>
      </w:r>
    </w:p>
    <w:p w14:paraId="1574CD53">
      <w:pPr>
        <w:pStyle w:val="5"/>
        <w:bidi w:val="0"/>
        <w:rPr>
          <w:rFonts w:hint="eastAsia"/>
          <w:color w:val="auto"/>
          <w:lang w:val="en-US" w:eastAsia="zh-CN"/>
        </w:rPr>
      </w:pPr>
      <w:bookmarkStart w:id="486" w:name="_Toc19813"/>
      <w:r>
        <w:rPr>
          <w:rFonts w:hint="eastAsia"/>
          <w:color w:val="auto"/>
          <w:lang w:val="en-US" w:eastAsia="zh-CN"/>
        </w:rPr>
        <w:t>坝基工程地质评价</w:t>
      </w:r>
      <w:bookmarkEnd w:id="486"/>
    </w:p>
    <w:p w14:paraId="2392D1E0">
      <w:pPr>
        <w:pStyle w:val="6"/>
        <w:bidi w:val="0"/>
        <w:rPr>
          <w:rFonts w:hint="eastAsia"/>
          <w:color w:val="auto"/>
          <w:lang w:val="en-US" w:eastAsia="zh-CN"/>
        </w:rPr>
      </w:pPr>
      <w:r>
        <w:rPr>
          <w:rFonts w:hint="eastAsia"/>
          <w:color w:val="auto"/>
          <w:lang w:val="en-US" w:eastAsia="zh-CN"/>
        </w:rPr>
        <w:t>稳定性及渗漏评价</w:t>
      </w:r>
    </w:p>
    <w:p w14:paraId="71E39DBE">
      <w:pPr>
        <w:bidi w:val="0"/>
        <w:rPr>
          <w:rFonts w:hint="eastAsia"/>
          <w:color w:val="auto"/>
          <w:lang w:val="en-US" w:eastAsia="zh-CN"/>
        </w:rPr>
      </w:pPr>
      <w:r>
        <w:rPr>
          <w:rFonts w:hint="eastAsia"/>
          <w:color w:val="auto"/>
          <w:lang w:val="en-US" w:eastAsia="zh-CN"/>
        </w:rPr>
        <w:t>根据区域地质资料，钻孔内地下水埋深0～12.5m，主要赋存于尾粉砂中，水位较稳定，从库区向下游，水位埋深依次增大，库区内接近地表，与库区水位连通，为主要补给来源，向下游径流排泄，无低邻谷，无贯通性裂隙向两库岸外渗漏。坝基③更新统黏土岩为相对隔水层，坝基渗流微弱。坝基土为更新统的③黏土岩，微透水，坝基抗滑稳定满足要求。</w:t>
      </w:r>
    </w:p>
    <w:p w14:paraId="78CB3C90">
      <w:pPr>
        <w:pStyle w:val="6"/>
        <w:bidi w:val="0"/>
        <w:rPr>
          <w:rFonts w:hint="eastAsia"/>
          <w:color w:val="auto"/>
          <w:lang w:val="en-US" w:eastAsia="zh-CN"/>
        </w:rPr>
      </w:pPr>
      <w:r>
        <w:rPr>
          <w:rFonts w:hint="eastAsia"/>
          <w:color w:val="auto"/>
          <w:lang w:val="en-US" w:eastAsia="zh-CN"/>
        </w:rPr>
        <w:t>尾矿坝建设适宜性评价</w:t>
      </w:r>
    </w:p>
    <w:p w14:paraId="3B255B6B">
      <w:pPr>
        <w:bidi w:val="0"/>
        <w:rPr>
          <w:rFonts w:hint="eastAsia"/>
          <w:color w:val="auto"/>
          <w:lang w:val="en-US" w:eastAsia="zh-CN"/>
        </w:rPr>
      </w:pPr>
      <w:r>
        <w:rPr>
          <w:rFonts w:hint="eastAsia"/>
          <w:color w:val="auto"/>
          <w:lang w:val="en-US" w:eastAsia="zh-CN"/>
        </w:rPr>
        <w:t>元谋盆地位于云南省北部，是滇中高原上最低的一个盆地。区域构成东南高、西北低，四周高、中间低的势态，由南向北倾斜的“筲箕凹”形。元谋红坡铁矿选厂尾矿库位于元谋盆地以北、金沙江北岸，属高中山山麓斜坡和侵蚀沟谷地貌。场地周边局部坡面形成由砂砾石及含钙质、铁质黏土巨厚层垂直节理发育的土林地貌。</w:t>
      </w:r>
    </w:p>
    <w:p w14:paraId="2C2A0731">
      <w:pPr>
        <w:bidi w:val="0"/>
        <w:rPr>
          <w:rFonts w:hint="eastAsia"/>
          <w:color w:val="auto"/>
          <w:lang w:val="en-US" w:eastAsia="zh-CN"/>
        </w:rPr>
      </w:pPr>
      <w:r>
        <w:rPr>
          <w:rFonts w:hint="eastAsia"/>
          <w:color w:val="auto"/>
          <w:lang w:val="en-US" w:eastAsia="zh-CN"/>
        </w:rPr>
        <w:t>尾矿堆积坝位于箐沟收口变窄处，嵌入沟床稳定地层中，深度不小于3.0m，工程沟床前后地形平缓，沟底高程1875～1909m，地形坡度小于5～10°，纵坡降6%，沟床分布原始地层为坡洪积粉质黏土层，现状已清除干净，沟床现状稳定。左岸地形坡度15～25°以斜坡地貌为主，地层分布第四系残坡积粉质黏土层，厚度2.3～3.9m；右岸地形坡度10～20°，为缓～斜坡地形，地层分布第四系残坡积粉质黏土层，厚度3.7～9.7m。坡体稳定，前方为天然箐沟，地形平缓，400m范围内无建（构）物场地分布，箐沟内无常流水，已建尾矿堆积坝工程两岸岸坡植被发育，无滑塌、陡岩峭壁分布。综合分析，已建尾矿堆积坝工程位置沟床、岸坡整体稳定性好。</w:t>
      </w:r>
    </w:p>
    <w:p w14:paraId="5D0E3547">
      <w:pPr>
        <w:pStyle w:val="5"/>
        <w:bidi w:val="0"/>
        <w:rPr>
          <w:rFonts w:hint="eastAsia"/>
          <w:color w:val="auto"/>
          <w:lang w:val="en-US" w:eastAsia="zh-CN"/>
        </w:rPr>
      </w:pPr>
      <w:bookmarkStart w:id="487" w:name="_Toc2759"/>
      <w:r>
        <w:rPr>
          <w:rFonts w:hint="eastAsia"/>
          <w:color w:val="auto"/>
          <w:lang w:val="en-US" w:eastAsia="zh-CN"/>
        </w:rPr>
        <w:t>周边环境评价</w:t>
      </w:r>
      <w:bookmarkEnd w:id="487"/>
    </w:p>
    <w:p w14:paraId="0B080248">
      <w:pPr>
        <w:bidi w:val="0"/>
        <w:rPr>
          <w:rFonts w:hint="eastAsia"/>
          <w:color w:val="auto"/>
          <w:lang w:val="en-US" w:eastAsia="zh-CN"/>
        </w:rPr>
      </w:pPr>
      <w:r>
        <w:rPr>
          <w:rFonts w:hint="eastAsia"/>
          <w:color w:val="auto"/>
          <w:lang w:val="en-US" w:eastAsia="zh-CN"/>
        </w:rPr>
        <w:t>库区东北、西南两面均为坡地地形，坡度较为平缓，一般在15°～25°左右。库尾（西北面）斜坡总体坡度约20°，库尾与坝址区高差约25m，整个库区三面密闭，坝址区下游东南方向为姜驿大村居民居住区，距尾矿库直线距离约1.2km，居民地地理位置高出谷底约40m，尾矿库对其无影响。右岸1km处为姜驿村，其高出尾矿库约20m，尾矿库对其没有影响。</w:t>
      </w:r>
    </w:p>
    <w:p w14:paraId="121845B8">
      <w:pPr>
        <w:bidi w:val="0"/>
        <w:rPr>
          <w:rFonts w:hint="eastAsia"/>
          <w:color w:val="auto"/>
          <w:lang w:val="en-US" w:eastAsia="zh-CN"/>
        </w:rPr>
      </w:pPr>
      <w:r>
        <w:rPr>
          <w:rFonts w:hint="eastAsia"/>
          <w:color w:val="auto"/>
          <w:lang w:val="en-US" w:eastAsia="zh-CN"/>
        </w:rPr>
        <w:t>由此可见，库区及周边环境比较单一，在自然条件下无坍塌、滑坡、泥石流等不良地质灾害发生，企业在尾矿库施工及运行期间应尽量减少对周边环境的破坏，同时应按设计要求进行施工，确保施工质量，避免溃坝和防止矿浆跑、冒、滴、漏等事故的发生，在尾矿库运行期间加强库区及周边的监测，发现问题及时处理，总体来说库区与周边环境的相互影响关系较小。</w:t>
      </w:r>
    </w:p>
    <w:p w14:paraId="731982BD">
      <w:pPr>
        <w:pStyle w:val="5"/>
        <w:bidi w:val="0"/>
        <w:rPr>
          <w:rFonts w:hint="eastAsia"/>
          <w:color w:val="auto"/>
          <w:lang w:val="en-US" w:eastAsia="zh-CN"/>
        </w:rPr>
      </w:pPr>
      <w:bookmarkStart w:id="488" w:name="_Toc25437"/>
      <w:r>
        <w:rPr>
          <w:rFonts w:hint="eastAsia"/>
          <w:color w:val="auto"/>
          <w:lang w:val="en-US" w:eastAsia="zh-CN"/>
        </w:rPr>
        <w:t>单元小结</w:t>
      </w:r>
      <w:bookmarkEnd w:id="488"/>
    </w:p>
    <w:p w14:paraId="4A379EE5">
      <w:pPr>
        <w:bidi w:val="0"/>
        <w:rPr>
          <w:rFonts w:hint="eastAsia"/>
          <w:color w:val="auto"/>
          <w:lang w:val="en-US" w:eastAsia="zh-CN"/>
        </w:rPr>
      </w:pPr>
      <w:r>
        <w:rPr>
          <w:rFonts w:hint="eastAsia"/>
          <w:color w:val="auto"/>
          <w:lang w:val="en-US" w:eastAsia="zh-CN"/>
        </w:rPr>
        <w:t>通过资料查阅、分析和评价组现场调查，评价组认为库区、坝址、坝肩工程地质稳定，建库以来未发生大的不良地质破坏。</w:t>
      </w:r>
    </w:p>
    <w:p w14:paraId="782142B5">
      <w:pPr>
        <w:bidi w:val="0"/>
        <w:rPr>
          <w:rFonts w:hint="default"/>
          <w:color w:val="auto"/>
          <w:lang w:val="en-US" w:eastAsia="zh-CN"/>
        </w:rPr>
      </w:pPr>
      <w:r>
        <w:rPr>
          <w:rFonts w:hint="eastAsia"/>
          <w:color w:val="auto"/>
          <w:lang w:val="en-US" w:eastAsia="zh-CN"/>
        </w:rPr>
        <w:t>根据地质勘察报告，场区无明显活动性断层通过，不良地质作用不甚</w:t>
      </w:r>
      <w:r>
        <w:rPr>
          <w:rFonts w:hint="default"/>
          <w:color w:val="auto"/>
          <w:lang w:val="en-US" w:eastAsia="zh-CN"/>
        </w:rPr>
        <w:t>发育。库区周边植被较发育，自然环境状况较好，现状下尾矿库周边无滑坡、泥石流等不良地质作用分布。</w:t>
      </w:r>
    </w:p>
    <w:p w14:paraId="3BE406A7">
      <w:pPr>
        <w:bidi w:val="0"/>
        <w:rPr>
          <w:rFonts w:hint="eastAsia"/>
          <w:color w:val="auto"/>
          <w:lang w:val="en-US" w:eastAsia="zh-CN"/>
        </w:rPr>
      </w:pPr>
      <w:r>
        <w:rPr>
          <w:rFonts w:hint="eastAsia"/>
          <w:color w:val="auto"/>
          <w:lang w:val="en-US" w:eastAsia="zh-CN"/>
        </w:rPr>
        <w:t>经过现场查勘库区岸坡山形完整，未见滑坡、崩塌、泥石流等不良地质现象，且尾矿库不属于积雪区，无雪崩等危害。坝址区建筑场地属基本稳定场地，尾矿坝建设适宜性为适宜。</w:t>
      </w:r>
    </w:p>
    <w:p w14:paraId="7A791041">
      <w:pPr>
        <w:pStyle w:val="4"/>
        <w:bidi w:val="0"/>
        <w:rPr>
          <w:rFonts w:hint="default"/>
          <w:color w:val="auto"/>
          <w:lang w:val="en-US" w:eastAsia="zh-CN"/>
        </w:rPr>
      </w:pPr>
      <w:bookmarkStart w:id="489" w:name="_Toc23383"/>
      <w:bookmarkStart w:id="490" w:name="_Toc23721"/>
      <w:r>
        <w:rPr>
          <w:rFonts w:hint="eastAsia"/>
          <w:color w:val="auto"/>
          <w:lang w:val="en-US" w:eastAsia="zh-CN"/>
        </w:rPr>
        <w:t>安全监测设施单元</w:t>
      </w:r>
      <w:bookmarkEnd w:id="489"/>
      <w:bookmarkEnd w:id="490"/>
    </w:p>
    <w:p w14:paraId="3B77BF09">
      <w:pPr>
        <w:pStyle w:val="5"/>
        <w:bidi w:val="0"/>
        <w:rPr>
          <w:color w:val="auto"/>
        </w:rPr>
      </w:pPr>
      <w:bookmarkStart w:id="491" w:name="_Toc8337"/>
      <w:bookmarkStart w:id="492" w:name="_Toc4711"/>
      <w:r>
        <w:rPr>
          <w:rFonts w:hint="eastAsia"/>
          <w:color w:val="auto"/>
          <w:lang w:val="en-US" w:eastAsia="zh-CN"/>
        </w:rPr>
        <w:t>安全监测设施</w:t>
      </w:r>
      <w:r>
        <w:rPr>
          <w:color w:val="auto"/>
        </w:rPr>
        <w:t>符合性检查</w:t>
      </w:r>
      <w:bookmarkEnd w:id="491"/>
      <w:bookmarkEnd w:id="492"/>
    </w:p>
    <w:p w14:paraId="20DE07E0">
      <w:pPr>
        <w:bidi w:val="0"/>
        <w:rPr>
          <w:color w:val="auto"/>
        </w:rPr>
      </w:pPr>
      <w:r>
        <w:rPr>
          <w:color w:val="auto"/>
        </w:rPr>
        <w:t>根据</w:t>
      </w:r>
      <w:r>
        <w:rPr>
          <w:rFonts w:hint="eastAsia"/>
          <w:color w:val="auto"/>
          <w:lang w:val="en-US" w:eastAsia="zh-CN"/>
        </w:rPr>
        <w:t>昆明赛特拉矿山工程设计有限公司</w:t>
      </w:r>
      <w:r>
        <w:rPr>
          <w:color w:val="auto"/>
        </w:rPr>
        <w:t>20</w:t>
      </w:r>
      <w:r>
        <w:rPr>
          <w:rFonts w:hint="eastAsia"/>
          <w:color w:val="auto"/>
          <w:lang w:val="en-US" w:eastAsia="zh-CN"/>
        </w:rPr>
        <w:t>23</w:t>
      </w:r>
      <w:r>
        <w:rPr>
          <w:color w:val="auto"/>
        </w:rPr>
        <w:t>年</w:t>
      </w:r>
      <w:r>
        <w:rPr>
          <w:rFonts w:hint="eastAsia"/>
          <w:color w:val="auto"/>
          <w:lang w:val="en-US" w:eastAsia="zh-CN"/>
        </w:rPr>
        <w:t>4</w:t>
      </w:r>
      <w:r>
        <w:rPr>
          <w:color w:val="auto"/>
        </w:rPr>
        <w:t>月编制的《</w:t>
      </w:r>
      <w:r>
        <w:rPr>
          <w:rFonts w:hint="eastAsia"/>
          <w:color w:val="auto"/>
          <w:lang w:eastAsia="zh-CN"/>
        </w:rPr>
        <w:t>元谋县大远矿业有限公司红坡铁矿选厂尾矿库</w:t>
      </w:r>
      <w:r>
        <w:rPr>
          <w:color w:val="auto"/>
        </w:rPr>
        <w:t>闭库</w:t>
      </w:r>
      <w:r>
        <w:rPr>
          <w:rFonts w:hint="eastAsia"/>
          <w:color w:val="auto"/>
          <w:lang w:val="en-US" w:eastAsia="zh-CN"/>
        </w:rPr>
        <w:t>工程</w:t>
      </w:r>
      <w:r>
        <w:rPr>
          <w:color w:val="auto"/>
        </w:rPr>
        <w:t>安全设施设计》，对</w:t>
      </w:r>
      <w:r>
        <w:rPr>
          <w:rFonts w:hint="eastAsia"/>
          <w:color w:val="auto"/>
          <w:lang w:eastAsia="zh-CN"/>
        </w:rPr>
        <w:t>安全监测</w:t>
      </w:r>
      <w:r>
        <w:rPr>
          <w:color w:val="auto"/>
        </w:rPr>
        <w:t>系统建设情况进行符合性检查。</w:t>
      </w:r>
    </w:p>
    <w:p w14:paraId="57A701DA">
      <w:pPr>
        <w:pStyle w:val="18"/>
        <w:keepNext/>
        <w:rPr>
          <w:rFonts w:cs="Times New Roman"/>
          <w:color w:val="auto"/>
        </w:rPr>
      </w:pPr>
      <w:r>
        <w:rPr>
          <w:rFonts w:cs="Times New Roman"/>
          <w:color w:val="auto"/>
        </w:rPr>
        <w:t>表</w:t>
      </w:r>
      <w:r>
        <w:rPr>
          <w:rFonts w:hint="eastAsia" w:cs="Times New Roman"/>
          <w:color w:val="auto"/>
          <w:lang w:val="en-US" w:eastAsia="zh-CN"/>
        </w:rPr>
        <w:t>4</w:t>
      </w:r>
      <w:r>
        <w:rPr>
          <w:rFonts w:cs="Times New Roman"/>
          <w:color w:val="auto"/>
        </w:rPr>
        <w:noBreakHyphen/>
      </w:r>
      <w:r>
        <w:rPr>
          <w:rFonts w:hint="eastAsia" w:cs="Times New Roman"/>
          <w:color w:val="auto"/>
          <w:lang w:val="en-US" w:eastAsia="zh-CN"/>
        </w:rPr>
        <w:t>4安全监测设施</w:t>
      </w:r>
      <w:r>
        <w:rPr>
          <w:rFonts w:cs="Times New Roman"/>
          <w:color w:val="auto"/>
        </w:rPr>
        <w:t>安全检查表</w:t>
      </w:r>
    </w:p>
    <w:tbl>
      <w:tblPr>
        <w:tblStyle w:val="57"/>
        <w:tblW w:w="90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3070"/>
        <w:gridCol w:w="2220"/>
        <w:gridCol w:w="2687"/>
        <w:gridCol w:w="660"/>
      </w:tblGrid>
      <w:tr w14:paraId="2E731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26" w:type="dxa"/>
            <w:vAlign w:val="center"/>
          </w:tcPr>
          <w:p w14:paraId="7177DF21">
            <w:pPr>
              <w:pStyle w:val="70"/>
              <w:jc w:val="center"/>
              <w:rPr>
                <w:color w:val="auto"/>
              </w:rPr>
            </w:pPr>
            <w:r>
              <w:rPr>
                <w:color w:val="auto"/>
              </w:rPr>
              <w:t>序号</w:t>
            </w:r>
          </w:p>
        </w:tc>
        <w:tc>
          <w:tcPr>
            <w:tcW w:w="3070" w:type="dxa"/>
            <w:vAlign w:val="center"/>
          </w:tcPr>
          <w:p w14:paraId="2DAF29E6">
            <w:pPr>
              <w:pStyle w:val="70"/>
              <w:jc w:val="center"/>
              <w:rPr>
                <w:color w:val="auto"/>
              </w:rPr>
            </w:pPr>
            <w:r>
              <w:rPr>
                <w:color w:val="auto"/>
              </w:rPr>
              <w:t>检查内容</w:t>
            </w:r>
          </w:p>
        </w:tc>
        <w:tc>
          <w:tcPr>
            <w:tcW w:w="2220" w:type="dxa"/>
            <w:vAlign w:val="center"/>
          </w:tcPr>
          <w:p w14:paraId="1931E1EB">
            <w:pPr>
              <w:pStyle w:val="70"/>
              <w:jc w:val="center"/>
              <w:rPr>
                <w:color w:val="auto"/>
              </w:rPr>
            </w:pPr>
            <w:r>
              <w:rPr>
                <w:color w:val="auto"/>
              </w:rPr>
              <w:t>检查依据</w:t>
            </w:r>
          </w:p>
        </w:tc>
        <w:tc>
          <w:tcPr>
            <w:tcW w:w="2687" w:type="dxa"/>
            <w:vAlign w:val="center"/>
          </w:tcPr>
          <w:p w14:paraId="2465F62D">
            <w:pPr>
              <w:pStyle w:val="70"/>
              <w:jc w:val="center"/>
              <w:rPr>
                <w:color w:val="auto"/>
              </w:rPr>
            </w:pPr>
            <w:r>
              <w:rPr>
                <w:color w:val="auto"/>
              </w:rPr>
              <w:t>检查情况</w:t>
            </w:r>
          </w:p>
        </w:tc>
        <w:tc>
          <w:tcPr>
            <w:tcW w:w="660" w:type="dxa"/>
            <w:vAlign w:val="center"/>
          </w:tcPr>
          <w:p w14:paraId="1E001CA1">
            <w:pPr>
              <w:pStyle w:val="70"/>
              <w:jc w:val="center"/>
              <w:rPr>
                <w:color w:val="auto"/>
              </w:rPr>
            </w:pPr>
            <w:r>
              <w:rPr>
                <w:color w:val="auto"/>
              </w:rPr>
              <w:t>检查结果</w:t>
            </w:r>
          </w:p>
        </w:tc>
      </w:tr>
      <w:tr w14:paraId="1CB09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26" w:type="dxa"/>
            <w:vAlign w:val="center"/>
          </w:tcPr>
          <w:p w14:paraId="5509A45A">
            <w:pPr>
              <w:pStyle w:val="70"/>
              <w:jc w:val="center"/>
              <w:rPr>
                <w:rFonts w:hint="eastAsia" w:eastAsia="宋体"/>
                <w:color w:val="auto"/>
                <w:lang w:val="en-US" w:eastAsia="zh-CN"/>
              </w:rPr>
            </w:pPr>
            <w:r>
              <w:rPr>
                <w:rFonts w:hint="eastAsia"/>
                <w:color w:val="auto"/>
                <w:lang w:val="en-US" w:eastAsia="zh-CN"/>
              </w:rPr>
              <w:t>1</w:t>
            </w:r>
          </w:p>
        </w:tc>
        <w:tc>
          <w:tcPr>
            <w:tcW w:w="3070" w:type="dxa"/>
            <w:vAlign w:val="center"/>
          </w:tcPr>
          <w:p w14:paraId="6F880B25">
            <w:pPr>
              <w:pStyle w:val="70"/>
              <w:jc w:val="both"/>
              <w:rPr>
                <w:color w:val="auto"/>
              </w:rPr>
            </w:pPr>
            <w:r>
              <w:rPr>
                <w:rFonts w:hint="eastAsia"/>
                <w:color w:val="auto"/>
              </w:rPr>
              <w:t>设计在标高1890.0</w:t>
            </w:r>
            <w:r>
              <w:rPr>
                <w:rFonts w:hint="eastAsia"/>
                <w:color w:val="auto"/>
                <w:lang w:eastAsia="zh-CN"/>
              </w:rPr>
              <w:t>m</w:t>
            </w:r>
            <w:r>
              <w:rPr>
                <w:rFonts w:hint="eastAsia"/>
                <w:color w:val="auto"/>
              </w:rPr>
              <w:t>、1900.5</w:t>
            </w:r>
            <w:r>
              <w:rPr>
                <w:rFonts w:hint="eastAsia"/>
                <w:color w:val="auto"/>
                <w:lang w:eastAsia="zh-CN"/>
              </w:rPr>
              <w:t>m</w:t>
            </w:r>
            <w:r>
              <w:rPr>
                <w:rFonts w:hint="eastAsia"/>
                <w:color w:val="auto"/>
              </w:rPr>
              <w:t>、1907.5</w:t>
            </w:r>
            <w:r>
              <w:rPr>
                <w:rFonts w:hint="eastAsia"/>
                <w:color w:val="auto"/>
                <w:lang w:eastAsia="zh-CN"/>
              </w:rPr>
              <w:t>m</w:t>
            </w:r>
            <w:r>
              <w:rPr>
                <w:rFonts w:hint="eastAsia"/>
                <w:color w:val="auto"/>
              </w:rPr>
              <w:t>布设位移沉降观测点</w:t>
            </w:r>
          </w:p>
        </w:tc>
        <w:tc>
          <w:tcPr>
            <w:tcW w:w="2220" w:type="dxa"/>
            <w:vAlign w:val="center"/>
          </w:tcPr>
          <w:p w14:paraId="66A8F0E1">
            <w:pPr>
              <w:pStyle w:val="70"/>
              <w:jc w:val="both"/>
              <w:rPr>
                <w:color w:val="auto"/>
              </w:rPr>
            </w:pPr>
            <w:r>
              <w:rPr>
                <w:color w:val="auto"/>
              </w:rPr>
              <w:t>《</w:t>
            </w:r>
            <w:r>
              <w:rPr>
                <w:rFonts w:hint="eastAsia"/>
                <w:color w:val="auto"/>
                <w:lang w:eastAsia="zh-CN"/>
              </w:rPr>
              <w:t>元谋县大远矿业有限公司红坡铁矿选厂尾矿库</w:t>
            </w:r>
            <w:r>
              <w:rPr>
                <w:color w:val="auto"/>
              </w:rPr>
              <w:t>闭库</w:t>
            </w:r>
            <w:r>
              <w:rPr>
                <w:rFonts w:hint="eastAsia"/>
                <w:color w:val="auto"/>
                <w:lang w:val="en-US" w:eastAsia="zh-CN"/>
              </w:rPr>
              <w:t>工程</w:t>
            </w:r>
            <w:r>
              <w:rPr>
                <w:color w:val="auto"/>
              </w:rPr>
              <w:t>安全设施设计》</w:t>
            </w:r>
          </w:p>
        </w:tc>
        <w:tc>
          <w:tcPr>
            <w:tcW w:w="2687" w:type="dxa"/>
            <w:vAlign w:val="center"/>
          </w:tcPr>
          <w:p w14:paraId="01BA3682">
            <w:pPr>
              <w:pStyle w:val="70"/>
              <w:jc w:val="both"/>
              <w:rPr>
                <w:rFonts w:hint="eastAsia" w:eastAsia="宋体"/>
                <w:color w:val="auto"/>
                <w:lang w:val="en-US" w:eastAsia="zh-CN"/>
              </w:rPr>
            </w:pPr>
            <w:r>
              <w:rPr>
                <w:rFonts w:hint="eastAsia" w:eastAsia="宋体"/>
                <w:color w:val="auto"/>
                <w:lang w:val="en-US" w:eastAsia="zh-CN"/>
              </w:rPr>
              <w:t>根据现场勘查已在标高1890.0</w:t>
            </w:r>
            <w:r>
              <w:rPr>
                <w:rFonts w:hint="eastAsia"/>
                <w:color w:val="auto"/>
                <w:lang w:val="en-US" w:eastAsia="zh-CN"/>
              </w:rPr>
              <w:t>m</w:t>
            </w:r>
            <w:r>
              <w:rPr>
                <w:rFonts w:hint="eastAsia" w:eastAsia="宋体"/>
                <w:color w:val="auto"/>
                <w:lang w:val="en-US" w:eastAsia="zh-CN"/>
              </w:rPr>
              <w:t>、1900.5</w:t>
            </w:r>
            <w:r>
              <w:rPr>
                <w:rFonts w:hint="eastAsia"/>
                <w:color w:val="auto"/>
                <w:lang w:val="en-US" w:eastAsia="zh-CN"/>
              </w:rPr>
              <w:t>m</w:t>
            </w:r>
            <w:r>
              <w:rPr>
                <w:rFonts w:hint="eastAsia" w:eastAsia="宋体"/>
                <w:color w:val="auto"/>
                <w:lang w:val="en-US" w:eastAsia="zh-CN"/>
              </w:rPr>
              <w:t>、1907.5</w:t>
            </w:r>
            <w:r>
              <w:rPr>
                <w:rFonts w:hint="eastAsia"/>
                <w:color w:val="auto"/>
                <w:lang w:val="en-US" w:eastAsia="zh-CN"/>
              </w:rPr>
              <w:t>m</w:t>
            </w:r>
            <w:r>
              <w:rPr>
                <w:rFonts w:hint="eastAsia" w:eastAsia="宋体"/>
                <w:color w:val="auto"/>
                <w:lang w:val="en-US" w:eastAsia="zh-CN"/>
              </w:rPr>
              <w:t>分别布设了3个位移沉降观测点，共计9个</w:t>
            </w:r>
            <w:r>
              <w:rPr>
                <w:rFonts w:hint="eastAsia"/>
                <w:color w:val="auto"/>
                <w:lang w:val="en-US" w:eastAsia="zh-CN"/>
              </w:rPr>
              <w:t>。</w:t>
            </w:r>
          </w:p>
        </w:tc>
        <w:tc>
          <w:tcPr>
            <w:tcW w:w="660" w:type="dxa"/>
            <w:vAlign w:val="center"/>
          </w:tcPr>
          <w:p w14:paraId="4B56AEF4">
            <w:pPr>
              <w:pStyle w:val="70"/>
              <w:jc w:val="center"/>
              <w:rPr>
                <w:rFonts w:hint="eastAsia" w:eastAsia="宋体"/>
                <w:color w:val="auto"/>
                <w:lang w:val="en-US" w:eastAsia="zh-CN"/>
              </w:rPr>
            </w:pPr>
            <w:r>
              <w:rPr>
                <w:rFonts w:hint="eastAsia"/>
                <w:color w:val="auto"/>
                <w:lang w:val="en-US" w:eastAsia="zh-CN"/>
              </w:rPr>
              <w:t>符合</w:t>
            </w:r>
          </w:p>
        </w:tc>
      </w:tr>
      <w:tr w14:paraId="288B7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26" w:type="dxa"/>
            <w:vAlign w:val="center"/>
          </w:tcPr>
          <w:p w14:paraId="38C807C4">
            <w:pPr>
              <w:pStyle w:val="70"/>
              <w:jc w:val="center"/>
              <w:rPr>
                <w:rFonts w:hint="default"/>
                <w:color w:val="auto"/>
                <w:lang w:val="en-US" w:eastAsia="zh-CN"/>
              </w:rPr>
            </w:pPr>
            <w:r>
              <w:rPr>
                <w:rFonts w:hint="eastAsia"/>
                <w:color w:val="auto"/>
                <w:lang w:val="en-US" w:eastAsia="zh-CN"/>
              </w:rPr>
              <w:t>2</w:t>
            </w:r>
          </w:p>
        </w:tc>
        <w:tc>
          <w:tcPr>
            <w:tcW w:w="3070" w:type="dxa"/>
            <w:vAlign w:val="center"/>
          </w:tcPr>
          <w:p w14:paraId="111F6B48">
            <w:pPr>
              <w:pStyle w:val="70"/>
              <w:jc w:val="both"/>
              <w:rPr>
                <w:rFonts w:hint="eastAsia"/>
                <w:color w:val="auto"/>
              </w:rPr>
            </w:pPr>
            <w:r>
              <w:rPr>
                <w:rFonts w:hint="eastAsia"/>
                <w:color w:val="auto"/>
                <w:lang w:val="en-US" w:eastAsia="zh-CN"/>
              </w:rPr>
              <w:t>在</w:t>
            </w:r>
            <w:r>
              <w:rPr>
                <w:rFonts w:hint="eastAsia"/>
                <w:color w:val="auto"/>
              </w:rPr>
              <w:t>附近山坡</w:t>
            </w:r>
            <w:r>
              <w:rPr>
                <w:rFonts w:hint="eastAsia"/>
                <w:color w:val="auto"/>
                <w:lang w:val="en-US" w:eastAsia="zh-CN"/>
              </w:rPr>
              <w:t>设计</w:t>
            </w:r>
            <w:r>
              <w:rPr>
                <w:rFonts w:hint="eastAsia"/>
                <w:color w:val="auto"/>
              </w:rPr>
              <w:t>不少于3个水准基点，并连结成观测网</w:t>
            </w:r>
          </w:p>
        </w:tc>
        <w:tc>
          <w:tcPr>
            <w:tcW w:w="2220" w:type="dxa"/>
            <w:vAlign w:val="center"/>
          </w:tcPr>
          <w:p w14:paraId="03B256DA">
            <w:pPr>
              <w:pStyle w:val="70"/>
              <w:jc w:val="both"/>
              <w:rPr>
                <w:color w:val="auto"/>
              </w:rPr>
            </w:pPr>
            <w:r>
              <w:rPr>
                <w:color w:val="auto"/>
              </w:rPr>
              <w:t>《</w:t>
            </w:r>
            <w:r>
              <w:rPr>
                <w:rFonts w:hint="eastAsia"/>
                <w:color w:val="auto"/>
                <w:lang w:eastAsia="zh-CN"/>
              </w:rPr>
              <w:t>元谋县大远矿业有限公司红坡铁矿选厂尾矿库</w:t>
            </w:r>
            <w:r>
              <w:rPr>
                <w:color w:val="auto"/>
              </w:rPr>
              <w:t>闭库</w:t>
            </w:r>
            <w:r>
              <w:rPr>
                <w:rFonts w:hint="eastAsia"/>
                <w:color w:val="auto"/>
                <w:lang w:val="en-US" w:eastAsia="zh-CN"/>
              </w:rPr>
              <w:t>工程</w:t>
            </w:r>
            <w:r>
              <w:rPr>
                <w:color w:val="auto"/>
              </w:rPr>
              <w:t>安全设施设计》</w:t>
            </w:r>
          </w:p>
        </w:tc>
        <w:tc>
          <w:tcPr>
            <w:tcW w:w="2687" w:type="dxa"/>
            <w:vAlign w:val="center"/>
          </w:tcPr>
          <w:p w14:paraId="3BFAD53F">
            <w:pPr>
              <w:pStyle w:val="70"/>
              <w:jc w:val="both"/>
              <w:rPr>
                <w:rFonts w:hint="default"/>
                <w:color w:val="auto"/>
                <w:lang w:val="en-US" w:eastAsia="zh-CN"/>
              </w:rPr>
            </w:pPr>
            <w:r>
              <w:rPr>
                <w:rFonts w:hint="default"/>
                <w:color w:val="auto"/>
                <w:lang w:val="en-US" w:eastAsia="zh-CN"/>
              </w:rPr>
              <w:t>根据现场勘查已在坝体两侧山坡分别布设了3个位移沉降基准点，共计6个</w:t>
            </w:r>
            <w:r>
              <w:rPr>
                <w:rFonts w:hint="eastAsia"/>
                <w:color w:val="auto"/>
                <w:lang w:val="en-US" w:eastAsia="zh-CN"/>
              </w:rPr>
              <w:t>。</w:t>
            </w:r>
          </w:p>
        </w:tc>
        <w:tc>
          <w:tcPr>
            <w:tcW w:w="660" w:type="dxa"/>
            <w:vAlign w:val="center"/>
          </w:tcPr>
          <w:p w14:paraId="7A3B9BB0">
            <w:pPr>
              <w:pStyle w:val="70"/>
              <w:jc w:val="center"/>
              <w:rPr>
                <w:rFonts w:hint="eastAsia" w:eastAsia="宋体"/>
                <w:color w:val="auto"/>
                <w:lang w:val="en-US" w:eastAsia="zh-CN"/>
              </w:rPr>
            </w:pPr>
            <w:r>
              <w:rPr>
                <w:rFonts w:hint="eastAsia"/>
                <w:color w:val="auto"/>
                <w:lang w:val="en-US" w:eastAsia="zh-CN"/>
              </w:rPr>
              <w:t>符合</w:t>
            </w:r>
          </w:p>
        </w:tc>
      </w:tr>
      <w:tr w14:paraId="27794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26" w:type="dxa"/>
            <w:vAlign w:val="center"/>
          </w:tcPr>
          <w:p w14:paraId="73B0A583">
            <w:pPr>
              <w:pStyle w:val="70"/>
              <w:jc w:val="center"/>
              <w:rPr>
                <w:rFonts w:hint="default"/>
                <w:color w:val="auto"/>
                <w:lang w:val="en-US" w:eastAsia="zh-CN"/>
              </w:rPr>
            </w:pPr>
            <w:r>
              <w:rPr>
                <w:rFonts w:hint="eastAsia"/>
                <w:color w:val="auto"/>
                <w:lang w:val="en-US" w:eastAsia="zh-CN"/>
              </w:rPr>
              <w:t>3</w:t>
            </w:r>
          </w:p>
        </w:tc>
        <w:tc>
          <w:tcPr>
            <w:tcW w:w="3070" w:type="dxa"/>
            <w:vAlign w:val="center"/>
          </w:tcPr>
          <w:p w14:paraId="576ED3C7">
            <w:pPr>
              <w:pStyle w:val="70"/>
              <w:jc w:val="both"/>
              <w:rPr>
                <w:rFonts w:hint="eastAsia"/>
                <w:color w:val="auto"/>
              </w:rPr>
            </w:pPr>
            <w:r>
              <w:rPr>
                <w:rFonts w:hint="eastAsia"/>
                <w:color w:val="auto"/>
              </w:rPr>
              <w:t>尾矿库闭库完工后连续观测3～5次（每月1次）。当坝体水平、垂直变形量已基本稳定后（变化有规律）每季或半年一次</w:t>
            </w:r>
          </w:p>
        </w:tc>
        <w:tc>
          <w:tcPr>
            <w:tcW w:w="2220" w:type="dxa"/>
            <w:vAlign w:val="center"/>
          </w:tcPr>
          <w:p w14:paraId="6A72E5BF">
            <w:pPr>
              <w:pStyle w:val="70"/>
              <w:jc w:val="both"/>
              <w:rPr>
                <w:color w:val="auto"/>
              </w:rPr>
            </w:pPr>
            <w:r>
              <w:rPr>
                <w:color w:val="auto"/>
              </w:rPr>
              <w:t>《</w:t>
            </w:r>
            <w:r>
              <w:rPr>
                <w:rFonts w:hint="eastAsia"/>
                <w:color w:val="auto"/>
                <w:lang w:eastAsia="zh-CN"/>
              </w:rPr>
              <w:t>元谋县大远矿业有限公司红坡铁矿选厂尾矿库</w:t>
            </w:r>
            <w:r>
              <w:rPr>
                <w:color w:val="auto"/>
              </w:rPr>
              <w:t>闭库</w:t>
            </w:r>
            <w:r>
              <w:rPr>
                <w:rFonts w:hint="eastAsia"/>
                <w:color w:val="auto"/>
                <w:lang w:val="en-US" w:eastAsia="zh-CN"/>
              </w:rPr>
              <w:t>工程</w:t>
            </w:r>
            <w:r>
              <w:rPr>
                <w:color w:val="auto"/>
              </w:rPr>
              <w:t>安全设施设计》</w:t>
            </w:r>
          </w:p>
        </w:tc>
        <w:tc>
          <w:tcPr>
            <w:tcW w:w="2687" w:type="dxa"/>
            <w:vAlign w:val="center"/>
          </w:tcPr>
          <w:p w14:paraId="54F0BEF9">
            <w:pPr>
              <w:pStyle w:val="70"/>
              <w:jc w:val="both"/>
              <w:rPr>
                <w:rFonts w:hint="default"/>
                <w:color w:val="auto"/>
                <w:lang w:val="en-US" w:eastAsia="zh-CN"/>
              </w:rPr>
            </w:pPr>
            <w:r>
              <w:rPr>
                <w:rFonts w:hint="default"/>
                <w:color w:val="auto"/>
                <w:lang w:val="en-US" w:eastAsia="zh-CN"/>
              </w:rPr>
              <w:t>查阅资料，施工单位完工后每月对坝体水平、垂直变形量进行监测并记录，记录未见明显变形及位移</w:t>
            </w:r>
            <w:r>
              <w:rPr>
                <w:rFonts w:hint="eastAsia"/>
                <w:color w:val="auto"/>
                <w:lang w:val="en-US" w:eastAsia="zh-CN"/>
              </w:rPr>
              <w:t>。</w:t>
            </w:r>
          </w:p>
        </w:tc>
        <w:tc>
          <w:tcPr>
            <w:tcW w:w="660" w:type="dxa"/>
            <w:vAlign w:val="center"/>
          </w:tcPr>
          <w:p w14:paraId="2FEBB5FD">
            <w:pPr>
              <w:pStyle w:val="70"/>
              <w:jc w:val="center"/>
              <w:rPr>
                <w:rFonts w:hint="default"/>
                <w:color w:val="auto"/>
                <w:lang w:val="en-US" w:eastAsia="zh-CN"/>
              </w:rPr>
            </w:pPr>
            <w:r>
              <w:rPr>
                <w:rFonts w:hint="eastAsia"/>
                <w:color w:val="auto"/>
                <w:lang w:val="en-US" w:eastAsia="zh-CN"/>
              </w:rPr>
              <w:t>符合</w:t>
            </w:r>
          </w:p>
        </w:tc>
      </w:tr>
      <w:tr w14:paraId="0A5D7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26" w:type="dxa"/>
            <w:vAlign w:val="center"/>
          </w:tcPr>
          <w:p w14:paraId="133F2F78">
            <w:pPr>
              <w:pStyle w:val="70"/>
              <w:jc w:val="center"/>
              <w:rPr>
                <w:rFonts w:hint="default"/>
                <w:color w:val="auto"/>
                <w:lang w:val="en-US" w:eastAsia="zh-CN"/>
              </w:rPr>
            </w:pPr>
            <w:bookmarkStart w:id="493" w:name="_Toc19452"/>
            <w:bookmarkStart w:id="494" w:name="_Toc25517"/>
            <w:r>
              <w:rPr>
                <w:rFonts w:hint="eastAsia"/>
                <w:color w:val="auto"/>
                <w:lang w:val="en-US" w:eastAsia="zh-CN"/>
              </w:rPr>
              <w:t>4</w:t>
            </w:r>
          </w:p>
        </w:tc>
        <w:tc>
          <w:tcPr>
            <w:tcW w:w="3070" w:type="dxa"/>
            <w:vAlign w:val="center"/>
          </w:tcPr>
          <w:p w14:paraId="325B9866">
            <w:pPr>
              <w:pStyle w:val="70"/>
              <w:jc w:val="both"/>
              <w:rPr>
                <w:rFonts w:hint="default" w:eastAsia="宋体"/>
                <w:color w:val="auto"/>
                <w:lang w:val="en-US" w:eastAsia="zh-CN"/>
              </w:rPr>
            </w:pPr>
            <w:r>
              <w:rPr>
                <w:rFonts w:hint="eastAsia"/>
                <w:color w:val="auto"/>
                <w:lang w:val="en-US" w:eastAsia="zh-CN"/>
              </w:rPr>
              <w:t>在尾矿库上下游各设1个地下水监测井</w:t>
            </w:r>
          </w:p>
        </w:tc>
        <w:tc>
          <w:tcPr>
            <w:tcW w:w="2220" w:type="dxa"/>
            <w:vAlign w:val="center"/>
          </w:tcPr>
          <w:p w14:paraId="35FA622C">
            <w:pPr>
              <w:pStyle w:val="70"/>
              <w:jc w:val="both"/>
              <w:rPr>
                <w:color w:val="auto"/>
              </w:rPr>
            </w:pPr>
            <w:r>
              <w:rPr>
                <w:color w:val="auto"/>
              </w:rPr>
              <w:t>《</w:t>
            </w:r>
            <w:r>
              <w:rPr>
                <w:rFonts w:hint="eastAsia"/>
                <w:color w:val="auto"/>
                <w:lang w:eastAsia="zh-CN"/>
              </w:rPr>
              <w:t>元谋县大远矿业有限公司红坡铁矿选厂尾矿库</w:t>
            </w:r>
            <w:r>
              <w:rPr>
                <w:color w:val="auto"/>
              </w:rPr>
              <w:t>闭库</w:t>
            </w:r>
            <w:r>
              <w:rPr>
                <w:rFonts w:hint="eastAsia"/>
                <w:color w:val="auto"/>
                <w:lang w:val="en-US" w:eastAsia="zh-CN"/>
              </w:rPr>
              <w:t>工程施工图设计</w:t>
            </w:r>
            <w:r>
              <w:rPr>
                <w:color w:val="auto"/>
              </w:rPr>
              <w:t>》</w:t>
            </w:r>
          </w:p>
        </w:tc>
        <w:tc>
          <w:tcPr>
            <w:tcW w:w="2687" w:type="dxa"/>
            <w:vAlign w:val="center"/>
          </w:tcPr>
          <w:p w14:paraId="096CA0B1">
            <w:pPr>
              <w:pStyle w:val="70"/>
              <w:jc w:val="both"/>
              <w:rPr>
                <w:rFonts w:hint="default"/>
                <w:color w:val="auto"/>
                <w:lang w:val="en-US" w:eastAsia="zh-CN"/>
              </w:rPr>
            </w:pPr>
            <w:r>
              <w:rPr>
                <w:rFonts w:hint="default"/>
                <w:color w:val="auto"/>
                <w:lang w:val="en-US" w:eastAsia="zh-CN"/>
              </w:rPr>
              <w:t>根据现场勘察已在尾矿库上下游分别设置了1个地下水监测井，监测井深度20</w:t>
            </w:r>
            <w:r>
              <w:rPr>
                <w:rFonts w:hint="eastAsia"/>
                <w:color w:val="auto"/>
                <w:lang w:val="en-US" w:eastAsia="zh-CN"/>
              </w:rPr>
              <w:t>m，内孔径0.1m。</w:t>
            </w:r>
          </w:p>
        </w:tc>
        <w:tc>
          <w:tcPr>
            <w:tcW w:w="660" w:type="dxa"/>
            <w:vAlign w:val="center"/>
          </w:tcPr>
          <w:p w14:paraId="3FC3E3E8">
            <w:pPr>
              <w:pStyle w:val="70"/>
              <w:jc w:val="center"/>
              <w:rPr>
                <w:rFonts w:hint="default"/>
                <w:color w:val="auto"/>
                <w:lang w:val="en-US" w:eastAsia="zh-CN"/>
              </w:rPr>
            </w:pPr>
            <w:r>
              <w:rPr>
                <w:rFonts w:hint="eastAsia"/>
                <w:color w:val="auto"/>
                <w:lang w:val="en-US" w:eastAsia="zh-CN"/>
              </w:rPr>
              <w:t>符合</w:t>
            </w:r>
          </w:p>
        </w:tc>
      </w:tr>
    </w:tbl>
    <w:p w14:paraId="1BB2D05C">
      <w:pPr>
        <w:pStyle w:val="5"/>
        <w:bidi w:val="0"/>
        <w:rPr>
          <w:rFonts w:hint="default"/>
          <w:color w:val="auto"/>
          <w:lang w:val="en-US" w:eastAsia="zh-CN"/>
        </w:rPr>
      </w:pPr>
      <w:r>
        <w:rPr>
          <w:rFonts w:hint="eastAsia"/>
          <w:color w:val="auto"/>
          <w:lang w:val="en-US" w:eastAsia="zh-CN"/>
        </w:rPr>
        <w:t>单元小结</w:t>
      </w:r>
      <w:bookmarkEnd w:id="493"/>
      <w:bookmarkEnd w:id="494"/>
    </w:p>
    <w:p w14:paraId="24F84E10">
      <w:pPr>
        <w:bidi w:val="0"/>
        <w:rPr>
          <w:color w:val="auto"/>
        </w:rPr>
      </w:pPr>
      <w:r>
        <w:rPr>
          <w:color w:val="auto"/>
        </w:rPr>
        <w:t>针对尾矿库</w:t>
      </w:r>
      <w:r>
        <w:rPr>
          <w:rFonts w:hint="eastAsia"/>
          <w:color w:val="auto"/>
          <w:lang w:val="en-US" w:eastAsia="zh-CN"/>
        </w:rPr>
        <w:t>安全监测设施</w:t>
      </w:r>
      <w:r>
        <w:rPr>
          <w:color w:val="auto"/>
        </w:rPr>
        <w:t>符合性检查表内的</w:t>
      </w:r>
      <w:r>
        <w:rPr>
          <w:rFonts w:hint="eastAsia"/>
          <w:color w:val="auto"/>
          <w:lang w:val="en-US" w:eastAsia="zh-CN"/>
        </w:rPr>
        <w:t>4</w:t>
      </w:r>
      <w:r>
        <w:rPr>
          <w:color w:val="auto"/>
        </w:rPr>
        <w:t>项进行检查，其中合格</w:t>
      </w:r>
      <w:r>
        <w:rPr>
          <w:rFonts w:hint="eastAsia"/>
          <w:color w:val="auto"/>
          <w:lang w:val="en-US" w:eastAsia="zh-CN"/>
        </w:rPr>
        <w:t>4</w:t>
      </w:r>
      <w:r>
        <w:rPr>
          <w:color w:val="auto"/>
        </w:rPr>
        <w:t>项</w:t>
      </w:r>
      <w:r>
        <w:rPr>
          <w:rFonts w:hint="eastAsia"/>
          <w:color w:val="auto"/>
          <w:lang w:val="en-US" w:eastAsia="zh-CN"/>
        </w:rPr>
        <w:t>。</w:t>
      </w:r>
      <w:r>
        <w:rPr>
          <w:color w:val="auto"/>
        </w:rPr>
        <w:t>经评价分析尾矿库</w:t>
      </w:r>
      <w:r>
        <w:rPr>
          <w:rFonts w:hint="eastAsia"/>
          <w:color w:val="auto"/>
          <w:lang w:val="en-US" w:eastAsia="zh-CN"/>
        </w:rPr>
        <w:t>安全监测设施</w:t>
      </w:r>
      <w:r>
        <w:rPr>
          <w:color w:val="auto"/>
        </w:rPr>
        <w:t>安全评价单元具备安全验收条件。</w:t>
      </w:r>
    </w:p>
    <w:p w14:paraId="017A0437">
      <w:pPr>
        <w:pStyle w:val="4"/>
        <w:bidi w:val="0"/>
        <w:rPr>
          <w:rFonts w:hint="default"/>
          <w:color w:val="auto"/>
          <w:lang w:val="en-US" w:eastAsia="zh-CN"/>
        </w:rPr>
      </w:pPr>
      <w:bookmarkStart w:id="495" w:name="_Toc17729"/>
      <w:bookmarkStart w:id="496" w:name="_Toc21034"/>
      <w:r>
        <w:rPr>
          <w:rFonts w:hint="eastAsia"/>
          <w:color w:val="auto"/>
          <w:lang w:val="en-US" w:eastAsia="zh-CN"/>
        </w:rPr>
        <w:t>排渗单元</w:t>
      </w:r>
      <w:bookmarkEnd w:id="495"/>
      <w:bookmarkEnd w:id="496"/>
    </w:p>
    <w:p w14:paraId="69F8AB1E">
      <w:pPr>
        <w:pStyle w:val="5"/>
        <w:bidi w:val="0"/>
        <w:rPr>
          <w:rFonts w:hint="default"/>
          <w:color w:val="auto"/>
          <w:lang w:val="en-US" w:eastAsia="zh-CN"/>
        </w:rPr>
      </w:pPr>
      <w:bookmarkStart w:id="497" w:name="_Toc20150"/>
      <w:r>
        <w:rPr>
          <w:rFonts w:hint="eastAsia"/>
          <w:color w:val="auto"/>
          <w:lang w:val="en-US" w:eastAsia="zh-CN"/>
        </w:rPr>
        <w:t>排渗单元分析评价</w:t>
      </w:r>
      <w:bookmarkEnd w:id="497"/>
    </w:p>
    <w:p w14:paraId="4D548431">
      <w:pPr>
        <w:bidi w:val="0"/>
        <w:rPr>
          <w:rFonts w:hint="eastAsia"/>
          <w:color w:val="auto"/>
          <w:lang w:val="en-US" w:eastAsia="zh-CN"/>
        </w:rPr>
      </w:pPr>
      <w:r>
        <w:rPr>
          <w:rFonts w:hint="eastAsia"/>
          <w:color w:val="auto"/>
          <w:lang w:val="en-US" w:eastAsia="zh-CN"/>
        </w:rPr>
        <w:t>设计闭库后形成库尾向坝前1%的顺坡坡度，库内雨水及时排出库外，很难下渗。现状浸润线基本在库区中部以下区域，且闭库后库区不积存水。只需按利用现有排渗设施即可。</w:t>
      </w:r>
    </w:p>
    <w:p w14:paraId="31FA5EC9">
      <w:pPr>
        <w:pStyle w:val="90"/>
        <w:ind w:firstLine="560" w:firstLineChars="200"/>
        <w:rPr>
          <w:rFonts w:hint="default" w:eastAsia="宋体"/>
          <w:b w:val="0"/>
          <w:bCs w:val="0"/>
          <w:color w:val="auto"/>
          <w:lang w:val="en-US" w:eastAsia="zh-CN"/>
        </w:rPr>
      </w:pPr>
      <w:r>
        <w:rPr>
          <w:rFonts w:hint="eastAsia"/>
          <w:b w:val="0"/>
          <w:bCs w:val="0"/>
          <w:color w:val="auto"/>
          <w:sz w:val="28"/>
          <w:szCs w:val="28"/>
          <w:lang w:val="en-US" w:eastAsia="zh-CN"/>
        </w:rPr>
        <w:t>根据现场勘查及查阅施工资料，滩面形成了</w:t>
      </w:r>
      <w:r>
        <w:rPr>
          <w:rFonts w:hint="eastAsia"/>
          <w:color w:val="auto"/>
          <w:sz w:val="28"/>
          <w:szCs w:val="28"/>
        </w:rPr>
        <w:t>库尾向坝前1%的顺坡坡度，库内雨水</w:t>
      </w:r>
      <w:r>
        <w:rPr>
          <w:rFonts w:hint="eastAsia"/>
          <w:color w:val="auto"/>
          <w:sz w:val="28"/>
          <w:szCs w:val="28"/>
          <w:lang w:val="en-US" w:eastAsia="zh-CN"/>
        </w:rPr>
        <w:t>能</w:t>
      </w:r>
      <w:r>
        <w:rPr>
          <w:rFonts w:hint="eastAsia"/>
          <w:color w:val="auto"/>
          <w:sz w:val="28"/>
          <w:szCs w:val="28"/>
        </w:rPr>
        <w:t>及时排出库外，</w:t>
      </w:r>
      <w:r>
        <w:rPr>
          <w:rFonts w:hint="eastAsia"/>
          <w:color w:val="auto"/>
          <w:sz w:val="28"/>
          <w:szCs w:val="28"/>
          <w:lang w:val="en-US" w:eastAsia="zh-CN"/>
        </w:rPr>
        <w:t>现场勘察库区未有积水情况。</w:t>
      </w:r>
    </w:p>
    <w:p w14:paraId="29CD5C7E">
      <w:pPr>
        <w:pStyle w:val="5"/>
        <w:bidi w:val="0"/>
        <w:rPr>
          <w:rFonts w:hint="eastAsia"/>
          <w:color w:val="auto"/>
          <w:lang w:val="en-US" w:eastAsia="zh-CN"/>
        </w:rPr>
      </w:pPr>
      <w:bookmarkStart w:id="498" w:name="_Toc29754"/>
      <w:r>
        <w:rPr>
          <w:rFonts w:hint="eastAsia"/>
          <w:color w:val="auto"/>
          <w:lang w:val="en-US" w:eastAsia="zh-CN"/>
        </w:rPr>
        <w:t>单元小结</w:t>
      </w:r>
      <w:bookmarkEnd w:id="498"/>
    </w:p>
    <w:p w14:paraId="1B6A92BC">
      <w:pPr>
        <w:bidi w:val="0"/>
        <w:rPr>
          <w:rFonts w:hint="default"/>
          <w:color w:val="auto"/>
          <w:lang w:val="en-US" w:eastAsia="zh-CN"/>
        </w:rPr>
      </w:pPr>
      <w:r>
        <w:rPr>
          <w:rFonts w:hint="default"/>
          <w:color w:val="auto"/>
          <w:lang w:val="en-US" w:eastAsia="zh-CN"/>
        </w:rPr>
        <w:t>坝体、坝基、溢洪道均采取了防渗措施，不存在向两侧临谷侧向渗漏问题，也不存在向下渗漏问题</w:t>
      </w:r>
      <w:r>
        <w:rPr>
          <w:rFonts w:hint="eastAsia"/>
          <w:color w:val="auto"/>
          <w:lang w:val="en-US" w:eastAsia="zh-CN"/>
        </w:rPr>
        <w:t>；</w:t>
      </w:r>
      <w:r>
        <w:rPr>
          <w:rFonts w:hint="default"/>
          <w:color w:val="auto"/>
          <w:lang w:val="en-US" w:eastAsia="zh-CN"/>
        </w:rPr>
        <w:t>尾矿库</w:t>
      </w:r>
      <w:r>
        <w:rPr>
          <w:rFonts w:hint="eastAsia"/>
          <w:color w:val="auto"/>
          <w:lang w:val="en-US" w:eastAsia="zh-CN"/>
        </w:rPr>
        <w:t>治理</w:t>
      </w:r>
      <w:r>
        <w:rPr>
          <w:rFonts w:hint="default"/>
          <w:color w:val="auto"/>
          <w:lang w:val="en-US" w:eastAsia="zh-CN"/>
        </w:rPr>
        <w:t>工程，经</w:t>
      </w:r>
      <w:r>
        <w:rPr>
          <w:rFonts w:hint="eastAsia"/>
          <w:color w:val="auto"/>
          <w:lang w:val="en-US" w:eastAsia="zh-CN"/>
        </w:rPr>
        <w:t>工勘</w:t>
      </w:r>
      <w:r>
        <w:rPr>
          <w:rFonts w:hint="default"/>
          <w:color w:val="auto"/>
          <w:lang w:val="en-US" w:eastAsia="zh-CN"/>
        </w:rPr>
        <w:t>报告确认，未揭露下部反滤层，不影响防渗效果。</w:t>
      </w:r>
    </w:p>
    <w:p w14:paraId="054B6ABC">
      <w:pPr>
        <w:bidi w:val="0"/>
        <w:rPr>
          <w:rFonts w:hint="default"/>
          <w:color w:val="auto"/>
          <w:lang w:val="en-US" w:eastAsia="zh-CN"/>
        </w:rPr>
      </w:pPr>
      <w:r>
        <w:rPr>
          <w:rFonts w:hint="default"/>
          <w:color w:val="auto"/>
          <w:lang w:val="en-US" w:eastAsia="zh-CN"/>
        </w:rPr>
        <w:t>经评价认为：通过现场观察和资料分析，目前尾矿库防渗、排渗设施正常，可以确保尾矿库安全运行，库区渗漏不突出。</w:t>
      </w:r>
    </w:p>
    <w:bookmarkEnd w:id="474"/>
    <w:bookmarkEnd w:id="475"/>
    <w:p w14:paraId="2F8B8397">
      <w:pPr>
        <w:pStyle w:val="4"/>
        <w:bidi w:val="0"/>
        <w:rPr>
          <w:rFonts w:cs="Times New Roman"/>
          <w:color w:val="auto"/>
        </w:rPr>
      </w:pPr>
      <w:bookmarkStart w:id="499" w:name="_Toc6312"/>
      <w:bookmarkStart w:id="500" w:name="_Toc1044"/>
      <w:bookmarkStart w:id="501" w:name="_Toc100570445"/>
      <w:bookmarkStart w:id="502" w:name="_Toc105057976"/>
      <w:r>
        <w:rPr>
          <w:color w:val="auto"/>
        </w:rPr>
        <w:t>辅助设施单元评价</w:t>
      </w:r>
      <w:bookmarkEnd w:id="499"/>
      <w:bookmarkEnd w:id="500"/>
      <w:bookmarkEnd w:id="501"/>
      <w:bookmarkEnd w:id="502"/>
    </w:p>
    <w:p w14:paraId="21697A01">
      <w:pPr>
        <w:pStyle w:val="5"/>
        <w:bidi w:val="0"/>
        <w:rPr>
          <w:color w:val="auto"/>
        </w:rPr>
      </w:pPr>
      <w:bookmarkStart w:id="503" w:name="_Toc31003"/>
      <w:bookmarkStart w:id="504" w:name="_Toc12332"/>
      <w:bookmarkStart w:id="505" w:name="_Toc105057977"/>
      <w:bookmarkStart w:id="506" w:name="_Toc100570446"/>
      <w:r>
        <w:rPr>
          <w:color w:val="auto"/>
        </w:rPr>
        <w:t>辅助设施单元分析评价</w:t>
      </w:r>
      <w:bookmarkEnd w:id="503"/>
      <w:bookmarkEnd w:id="504"/>
      <w:bookmarkEnd w:id="505"/>
      <w:bookmarkEnd w:id="506"/>
    </w:p>
    <w:p w14:paraId="0DE4F24C">
      <w:pPr>
        <w:bidi w:val="0"/>
        <w:rPr>
          <w:color w:val="auto"/>
        </w:rPr>
      </w:pPr>
      <w:r>
        <w:rPr>
          <w:rFonts w:hint="eastAsia"/>
          <w:color w:val="auto"/>
          <w:lang w:val="en-US" w:eastAsia="zh-CN"/>
        </w:rPr>
        <w:t>尾矿库停用多年，</w:t>
      </w:r>
      <w:r>
        <w:rPr>
          <w:rFonts w:hint="eastAsia"/>
          <w:color w:val="auto"/>
          <w:lang w:eastAsia="zh-CN"/>
        </w:rPr>
        <w:t>闭库</w:t>
      </w:r>
      <w:r>
        <w:rPr>
          <w:color w:val="auto"/>
        </w:rPr>
        <w:t>工程临时辅助设施</w:t>
      </w:r>
      <w:r>
        <w:rPr>
          <w:rFonts w:hint="eastAsia"/>
          <w:color w:val="auto"/>
          <w:lang w:val="en-US" w:eastAsia="zh-CN"/>
        </w:rPr>
        <w:t>依托原有的道路，通讯及电力等</w:t>
      </w:r>
      <w:r>
        <w:rPr>
          <w:color w:val="auto"/>
        </w:rPr>
        <w:t>辅助设施相关支撑，作为尾矿库</w:t>
      </w:r>
      <w:r>
        <w:rPr>
          <w:rFonts w:hint="eastAsia"/>
          <w:color w:val="auto"/>
          <w:lang w:eastAsia="zh-CN"/>
        </w:rPr>
        <w:t>闭库</w:t>
      </w:r>
      <w:r>
        <w:rPr>
          <w:color w:val="auto"/>
        </w:rPr>
        <w:t>工程的辅助设施，尾矿</w:t>
      </w:r>
      <w:r>
        <w:rPr>
          <w:rFonts w:hint="eastAsia"/>
          <w:color w:val="auto"/>
          <w:lang w:val="en-US" w:eastAsia="zh-CN"/>
        </w:rPr>
        <w:t>库</w:t>
      </w:r>
      <w:r>
        <w:rPr>
          <w:color w:val="auto"/>
        </w:rPr>
        <w:t>已完成</w:t>
      </w:r>
      <w:r>
        <w:rPr>
          <w:rFonts w:hint="eastAsia"/>
          <w:color w:val="auto"/>
          <w:lang w:val="en-US" w:eastAsia="zh-CN"/>
        </w:rPr>
        <w:t>闭库施工</w:t>
      </w:r>
      <w:r>
        <w:rPr>
          <w:color w:val="auto"/>
        </w:rPr>
        <w:t>，</w:t>
      </w:r>
      <w:r>
        <w:rPr>
          <w:rFonts w:hint="eastAsia"/>
          <w:color w:val="auto"/>
          <w:lang w:val="en-US" w:eastAsia="zh-CN"/>
        </w:rPr>
        <w:t>进场道路进行了封闭</w:t>
      </w:r>
      <w:r>
        <w:rPr>
          <w:color w:val="auto"/>
        </w:rPr>
        <w:t>，</w:t>
      </w:r>
      <w:r>
        <w:rPr>
          <w:rFonts w:hint="eastAsia"/>
          <w:color w:val="auto"/>
          <w:lang w:val="en-US" w:eastAsia="zh-CN"/>
        </w:rPr>
        <w:t>电力供应除生活用电外已全部断供，</w:t>
      </w:r>
      <w:r>
        <w:rPr>
          <w:color w:val="auto"/>
        </w:rPr>
        <w:t>辅助设施任务圆满完成，临时工程将不再继续保留和使用。</w:t>
      </w:r>
    </w:p>
    <w:p w14:paraId="377480A5">
      <w:pPr>
        <w:pStyle w:val="5"/>
        <w:bidi w:val="0"/>
        <w:rPr>
          <w:color w:val="auto"/>
        </w:rPr>
      </w:pPr>
      <w:bookmarkStart w:id="507" w:name="_Toc30942"/>
      <w:bookmarkStart w:id="508" w:name="_Toc100570447"/>
      <w:bookmarkStart w:id="509" w:name="_Toc2171"/>
      <w:bookmarkStart w:id="510" w:name="_Toc105057978"/>
      <w:r>
        <w:rPr>
          <w:color w:val="auto"/>
        </w:rPr>
        <w:t>单元小结</w:t>
      </w:r>
      <w:bookmarkEnd w:id="507"/>
      <w:bookmarkEnd w:id="508"/>
      <w:bookmarkEnd w:id="509"/>
      <w:bookmarkEnd w:id="510"/>
    </w:p>
    <w:p w14:paraId="30A8C893">
      <w:pPr>
        <w:bidi w:val="0"/>
        <w:rPr>
          <w:rFonts w:hint="eastAsia"/>
          <w:color w:val="auto"/>
          <w:lang w:val="en-US" w:eastAsia="zh-CN"/>
        </w:rPr>
      </w:pPr>
      <w:r>
        <w:rPr>
          <w:rFonts w:hint="eastAsia"/>
          <w:color w:val="auto"/>
          <w:lang w:val="en-US" w:eastAsia="zh-CN"/>
        </w:rPr>
        <w:t>辅助设施已完成闭库的任务，随闭库工程的结束不再继续保留和使用，辅助设施单元符合验收条件。</w:t>
      </w:r>
    </w:p>
    <w:p w14:paraId="47A47B70">
      <w:pPr>
        <w:pStyle w:val="4"/>
        <w:bidi w:val="0"/>
        <w:rPr>
          <w:color w:val="auto"/>
        </w:rPr>
      </w:pPr>
      <w:bookmarkStart w:id="511" w:name="_Toc14950"/>
      <w:bookmarkStart w:id="512" w:name="_Toc105057979"/>
      <w:bookmarkStart w:id="513" w:name="_Toc100570448"/>
      <w:bookmarkStart w:id="514" w:name="_Toc25546"/>
      <w:r>
        <w:rPr>
          <w:color w:val="auto"/>
        </w:rPr>
        <w:t>个人安全防护单元</w:t>
      </w:r>
      <w:bookmarkEnd w:id="511"/>
      <w:bookmarkEnd w:id="512"/>
      <w:bookmarkEnd w:id="513"/>
      <w:bookmarkEnd w:id="514"/>
    </w:p>
    <w:p w14:paraId="71C7AF16">
      <w:pPr>
        <w:pStyle w:val="5"/>
        <w:bidi w:val="0"/>
        <w:rPr>
          <w:color w:val="auto"/>
        </w:rPr>
      </w:pPr>
      <w:bookmarkStart w:id="515" w:name="_Toc4146"/>
      <w:bookmarkStart w:id="516" w:name="_Toc105057980"/>
      <w:bookmarkStart w:id="517" w:name="_Toc28144"/>
      <w:bookmarkStart w:id="518" w:name="_Toc100570449"/>
      <w:r>
        <w:rPr>
          <w:color w:val="auto"/>
        </w:rPr>
        <w:t>个人安全防护单元安全评价</w:t>
      </w:r>
      <w:bookmarkEnd w:id="515"/>
      <w:bookmarkEnd w:id="516"/>
      <w:bookmarkEnd w:id="517"/>
      <w:bookmarkEnd w:id="518"/>
    </w:p>
    <w:p w14:paraId="4F231261">
      <w:pPr>
        <w:adjustRightInd w:val="0"/>
        <w:snapToGrid w:val="0"/>
        <w:ind w:firstLine="560"/>
        <w:rPr>
          <w:rFonts w:eastAsiaTheme="minorEastAsia"/>
          <w:color w:val="auto"/>
          <w:sz w:val="28"/>
          <w:szCs w:val="28"/>
        </w:rPr>
      </w:pPr>
      <w:bookmarkStart w:id="519" w:name="_Toc105057981"/>
      <w:bookmarkStart w:id="520" w:name="_Toc100570450"/>
      <w:r>
        <w:rPr>
          <w:rFonts w:eastAsiaTheme="minorEastAsia"/>
          <w:color w:val="auto"/>
          <w:sz w:val="28"/>
          <w:szCs w:val="28"/>
        </w:rPr>
        <w:t>尾矿</w:t>
      </w:r>
      <w:r>
        <w:rPr>
          <w:rFonts w:hint="eastAsia" w:eastAsiaTheme="minorEastAsia"/>
          <w:color w:val="auto"/>
          <w:sz w:val="28"/>
          <w:szCs w:val="28"/>
        </w:rPr>
        <w:t>库</w:t>
      </w:r>
      <w:r>
        <w:rPr>
          <w:rFonts w:eastAsiaTheme="minorEastAsia"/>
          <w:color w:val="auto"/>
          <w:sz w:val="28"/>
          <w:szCs w:val="28"/>
        </w:rPr>
        <w:t>闭库作业危害物质主要是粉尘</w:t>
      </w:r>
      <w:r>
        <w:rPr>
          <w:rFonts w:hint="eastAsia" w:eastAsiaTheme="minorEastAsia"/>
          <w:color w:val="auto"/>
          <w:sz w:val="28"/>
          <w:szCs w:val="28"/>
        </w:rPr>
        <w:t>、石块</w:t>
      </w:r>
      <w:r>
        <w:rPr>
          <w:rFonts w:eastAsiaTheme="minorEastAsia"/>
          <w:color w:val="auto"/>
          <w:sz w:val="28"/>
          <w:szCs w:val="28"/>
        </w:rPr>
        <w:t>掉落和噪声</w:t>
      </w:r>
      <w:r>
        <w:rPr>
          <w:rFonts w:hint="eastAsia" w:eastAsiaTheme="minorEastAsia"/>
          <w:color w:val="auto"/>
          <w:sz w:val="28"/>
          <w:szCs w:val="28"/>
        </w:rPr>
        <w:t>等</w:t>
      </w:r>
      <w:r>
        <w:rPr>
          <w:rFonts w:eastAsiaTheme="minorEastAsia"/>
          <w:color w:val="auto"/>
          <w:sz w:val="28"/>
          <w:szCs w:val="28"/>
        </w:rPr>
        <w:t>，应采取以下有效措施降低对职工身体健康的危害，尾矿库工作人员必须配备个人安全防护用品如安全帽、雨鞋、口罩等。</w:t>
      </w:r>
    </w:p>
    <w:p w14:paraId="366CB401">
      <w:pPr>
        <w:pStyle w:val="5"/>
        <w:bidi w:val="0"/>
        <w:rPr>
          <w:color w:val="auto"/>
        </w:rPr>
      </w:pPr>
      <w:bookmarkStart w:id="521" w:name="_Toc20196"/>
      <w:bookmarkStart w:id="522" w:name="_Toc31515"/>
      <w:r>
        <w:rPr>
          <w:color w:val="auto"/>
        </w:rPr>
        <w:t>单元小结</w:t>
      </w:r>
      <w:bookmarkEnd w:id="519"/>
      <w:bookmarkEnd w:id="520"/>
      <w:bookmarkEnd w:id="521"/>
      <w:bookmarkEnd w:id="522"/>
    </w:p>
    <w:p w14:paraId="1FE0407A">
      <w:pPr>
        <w:bidi w:val="0"/>
        <w:rPr>
          <w:color w:val="auto"/>
        </w:rPr>
      </w:pPr>
      <w:r>
        <w:rPr>
          <w:rFonts w:hint="eastAsia"/>
          <w:b w:val="0"/>
          <w:bCs w:val="0"/>
          <w:color w:val="auto"/>
          <w:lang w:val="en-US" w:eastAsia="zh-CN"/>
        </w:rPr>
        <w:t>尾款库闭库工程委托外单位人员施工，施工单位自行负责施工人员的劳动防护。尾矿库闭库后元谋县应急管理局留有专人长期巡查，</w:t>
      </w:r>
      <w:r>
        <w:rPr>
          <w:color w:val="auto"/>
        </w:rPr>
        <w:t>给</w:t>
      </w:r>
      <w:r>
        <w:rPr>
          <w:rFonts w:hint="eastAsia"/>
          <w:color w:val="auto"/>
          <w:lang w:val="en-US" w:eastAsia="zh-CN"/>
        </w:rPr>
        <w:t>巡查的</w:t>
      </w:r>
      <w:r>
        <w:rPr>
          <w:color w:val="auto"/>
        </w:rPr>
        <w:t>工作人员配备安全帽、雨鞋、手套、工作服等必需品。经分析评价，认为该单元满足安全生产条件，具备验收条件。</w:t>
      </w:r>
    </w:p>
    <w:p w14:paraId="13BD0E58">
      <w:pPr>
        <w:pStyle w:val="4"/>
        <w:bidi w:val="0"/>
        <w:rPr>
          <w:rFonts w:hint="eastAsia"/>
          <w:color w:val="auto"/>
          <w:lang w:val="en-US" w:eastAsia="zh-CN"/>
        </w:rPr>
      </w:pPr>
      <w:bookmarkStart w:id="523" w:name="_Toc4402"/>
      <w:r>
        <w:rPr>
          <w:rFonts w:hint="eastAsia"/>
          <w:color w:val="auto"/>
          <w:lang w:val="en-US" w:eastAsia="zh-CN"/>
        </w:rPr>
        <w:t>安全标志单元</w:t>
      </w:r>
      <w:bookmarkEnd w:id="523"/>
    </w:p>
    <w:p w14:paraId="722F903C">
      <w:pPr>
        <w:bidi w:val="0"/>
        <w:rPr>
          <w:rFonts w:hint="eastAsia"/>
          <w:color w:val="auto"/>
          <w:lang w:val="en-US" w:eastAsia="zh-CN"/>
        </w:rPr>
      </w:pPr>
      <w:r>
        <w:rPr>
          <w:rFonts w:hint="eastAsia"/>
          <w:color w:val="auto"/>
          <w:lang w:val="en-US" w:eastAsia="zh-CN"/>
        </w:rPr>
        <w:t>库区设置了禁止入内、禁止放牧等安全标志，建议在路口设置固定的拦挡措施，并悬挂警示标识，同时告知周边村民尾矿库的危险性。</w:t>
      </w:r>
    </w:p>
    <w:p w14:paraId="1E36D4FE">
      <w:pPr>
        <w:pStyle w:val="25"/>
        <w:rPr>
          <w:rFonts w:hint="eastAsia"/>
          <w:color w:val="auto"/>
          <w:lang w:val="en-US" w:eastAsia="zh-CN"/>
        </w:rPr>
      </w:pPr>
      <w:r>
        <w:rPr>
          <w:rFonts w:hint="eastAsia"/>
          <w:color w:val="auto"/>
          <w:lang w:val="en-US" w:eastAsia="zh-CN"/>
        </w:rPr>
        <w:t>经评价认为安全标志单元符合验收评价条件。</w:t>
      </w:r>
    </w:p>
    <w:p w14:paraId="6DE1DAA7">
      <w:pPr>
        <w:pStyle w:val="4"/>
        <w:bidi w:val="0"/>
        <w:rPr>
          <w:rFonts w:cs="Times New Roman"/>
          <w:color w:val="auto"/>
        </w:rPr>
      </w:pPr>
      <w:bookmarkStart w:id="524" w:name="_Toc25789"/>
      <w:bookmarkStart w:id="525" w:name="_Toc100570455"/>
      <w:bookmarkStart w:id="526" w:name="_Toc14169"/>
      <w:bookmarkStart w:id="527" w:name="_Toc105057985"/>
      <w:r>
        <w:rPr>
          <w:color w:val="auto"/>
        </w:rPr>
        <w:t>安全管理单元</w:t>
      </w:r>
      <w:bookmarkEnd w:id="524"/>
      <w:bookmarkEnd w:id="525"/>
      <w:bookmarkEnd w:id="526"/>
      <w:bookmarkEnd w:id="527"/>
    </w:p>
    <w:p w14:paraId="7D9364AE">
      <w:pPr>
        <w:pStyle w:val="5"/>
        <w:bidi w:val="0"/>
        <w:rPr>
          <w:color w:val="auto"/>
        </w:rPr>
      </w:pPr>
      <w:bookmarkStart w:id="528" w:name="_Toc100570456"/>
      <w:bookmarkStart w:id="529" w:name="_Toc105057986"/>
      <w:bookmarkStart w:id="530" w:name="_Toc5210"/>
      <w:bookmarkStart w:id="531" w:name="_Toc26639"/>
      <w:r>
        <w:rPr>
          <w:rFonts w:hint="eastAsia"/>
          <w:color w:val="auto"/>
          <w:lang w:val="en-US" w:eastAsia="zh-CN"/>
        </w:rPr>
        <w:t>安全管理单元评价</w:t>
      </w:r>
      <w:bookmarkEnd w:id="528"/>
      <w:bookmarkEnd w:id="529"/>
      <w:bookmarkEnd w:id="530"/>
      <w:bookmarkEnd w:id="531"/>
    </w:p>
    <w:p w14:paraId="4A59B730">
      <w:pPr>
        <w:bidi w:val="0"/>
        <w:rPr>
          <w:rFonts w:hint="default"/>
          <w:color w:val="auto"/>
          <w:lang w:val="en-US" w:eastAsia="zh-CN"/>
        </w:rPr>
      </w:pPr>
      <w:r>
        <w:rPr>
          <w:rFonts w:hint="eastAsia"/>
          <w:color w:val="auto"/>
          <w:lang w:val="en-US" w:eastAsia="zh-CN"/>
        </w:rPr>
        <w:t>施工单位针对该尾矿库安排了专人负责尾矿库的闭库全过程，现已完成全部施工过程，并经过了监理单位验收。在闭库后监测期内，施工单位有专门针对尾矿库的安全管理机构，公司内部有健全的尾矿库管理制度。同时闭库后库区留有值班室，安排了专人对尾矿库进行值守，同时定期对各项数据进行检测后汇报元谋应急管理局。</w:t>
      </w:r>
    </w:p>
    <w:p w14:paraId="7FFF269B">
      <w:pPr>
        <w:pStyle w:val="5"/>
        <w:bidi w:val="0"/>
        <w:rPr>
          <w:color w:val="auto"/>
        </w:rPr>
      </w:pPr>
      <w:bookmarkStart w:id="532" w:name="_Toc105057988"/>
      <w:bookmarkStart w:id="533" w:name="_Toc15671"/>
      <w:bookmarkStart w:id="534" w:name="_Toc100570458"/>
      <w:bookmarkStart w:id="535" w:name="_Toc5917"/>
      <w:r>
        <w:rPr>
          <w:color w:val="auto"/>
        </w:rPr>
        <w:t>单元小结</w:t>
      </w:r>
      <w:bookmarkEnd w:id="532"/>
      <w:bookmarkEnd w:id="533"/>
      <w:bookmarkEnd w:id="534"/>
      <w:bookmarkEnd w:id="535"/>
    </w:p>
    <w:p w14:paraId="2C32A9F6">
      <w:pPr>
        <w:rPr>
          <w:color w:val="auto"/>
          <w:sz w:val="44"/>
          <w:szCs w:val="44"/>
        </w:rPr>
      </w:pPr>
      <w:r>
        <w:rPr>
          <w:rFonts w:hint="eastAsia"/>
          <w:color w:val="auto"/>
          <w:lang w:val="en-US" w:eastAsia="zh-CN"/>
        </w:rPr>
        <w:t>尾矿库闭库后不再进行使用，闭库工程已按设计要求完成施工，在监测期内施工单位安排了专人进行值守，对闭库后的尾矿库进行各项重要指标检测以及安全设施、警示标识的维护</w:t>
      </w:r>
      <w:r>
        <w:rPr>
          <w:color w:val="auto"/>
        </w:rPr>
        <w:t>。评价认为安全管理单元满足安全生产条件，具备安全验收的条件。</w:t>
      </w:r>
      <w:r>
        <w:rPr>
          <w:color w:val="auto"/>
        </w:rPr>
        <w:br w:type="page"/>
      </w:r>
    </w:p>
    <w:p w14:paraId="73234A19">
      <w:pPr>
        <w:pStyle w:val="3"/>
        <w:outlineLvl w:val="0"/>
        <w:rPr>
          <w:color w:val="auto"/>
        </w:rPr>
      </w:pPr>
      <w:bookmarkStart w:id="536" w:name="_Toc100570459"/>
      <w:bookmarkStart w:id="537" w:name="_Toc105057989"/>
      <w:bookmarkStart w:id="538" w:name="_Toc1621"/>
      <w:bookmarkStart w:id="539" w:name="_Toc14834"/>
      <w:r>
        <w:rPr>
          <w:color w:val="auto"/>
        </w:rPr>
        <w:t>安全对策措施建议</w:t>
      </w:r>
      <w:bookmarkEnd w:id="536"/>
      <w:bookmarkEnd w:id="537"/>
      <w:bookmarkEnd w:id="538"/>
      <w:bookmarkEnd w:id="539"/>
    </w:p>
    <w:p w14:paraId="40304E7E">
      <w:pPr>
        <w:pStyle w:val="4"/>
        <w:bidi w:val="0"/>
        <w:rPr>
          <w:rFonts w:hint="eastAsia"/>
          <w:color w:val="auto"/>
        </w:rPr>
      </w:pPr>
      <w:bookmarkStart w:id="540" w:name="_Toc17335"/>
      <w:bookmarkStart w:id="541" w:name="_Toc105057991"/>
      <w:bookmarkStart w:id="542" w:name="_Toc17022"/>
      <w:r>
        <w:rPr>
          <w:color w:val="auto"/>
        </w:rPr>
        <w:t>尾矿库闭库单元</w:t>
      </w:r>
      <w:bookmarkEnd w:id="540"/>
      <w:bookmarkEnd w:id="541"/>
      <w:bookmarkEnd w:id="542"/>
    </w:p>
    <w:p w14:paraId="6820B36C">
      <w:pPr>
        <w:bidi w:val="0"/>
        <w:rPr>
          <w:rFonts w:hint="eastAsia"/>
          <w:color w:val="auto"/>
          <w:lang w:val="en-US" w:eastAsia="zh-CN"/>
        </w:rPr>
      </w:pPr>
      <w:r>
        <w:rPr>
          <w:rFonts w:hint="eastAsia"/>
          <w:color w:val="auto"/>
          <w:lang w:val="en-US" w:eastAsia="zh-CN"/>
        </w:rPr>
        <w:t>1、加强坝体沉降位移观测记录和分析，发现异常及时采取处理措施；</w:t>
      </w:r>
    </w:p>
    <w:p w14:paraId="0E4D9418">
      <w:pPr>
        <w:bidi w:val="0"/>
        <w:rPr>
          <w:rFonts w:hint="default"/>
          <w:color w:val="auto"/>
          <w:lang w:val="en-US" w:eastAsia="zh-CN"/>
        </w:rPr>
      </w:pPr>
      <w:r>
        <w:rPr>
          <w:rFonts w:hint="eastAsia"/>
          <w:color w:val="auto"/>
          <w:lang w:val="en-US" w:eastAsia="zh-CN"/>
        </w:rPr>
        <w:t>2、</w:t>
      </w:r>
      <w:r>
        <w:rPr>
          <w:rFonts w:hint="default"/>
          <w:color w:val="auto"/>
          <w:lang w:val="en-US" w:eastAsia="zh-CN"/>
        </w:rPr>
        <w:t>库闭库后需加强坝体渗水情况观测及数据统计分析</w:t>
      </w:r>
      <w:r>
        <w:rPr>
          <w:rFonts w:hint="eastAsia"/>
          <w:color w:val="auto"/>
          <w:lang w:val="en-US" w:eastAsia="zh-CN"/>
        </w:rPr>
        <w:t>；</w:t>
      </w:r>
    </w:p>
    <w:p w14:paraId="0A78D5C9">
      <w:pPr>
        <w:bidi w:val="0"/>
        <w:rPr>
          <w:rFonts w:hint="default"/>
          <w:color w:val="auto"/>
          <w:lang w:val="en-US" w:eastAsia="zh-CN"/>
        </w:rPr>
      </w:pPr>
      <w:r>
        <w:rPr>
          <w:rFonts w:hint="eastAsia"/>
          <w:color w:val="auto"/>
          <w:lang w:val="en-US" w:eastAsia="zh-CN"/>
        </w:rPr>
        <w:t>3、</w:t>
      </w:r>
      <w:r>
        <w:rPr>
          <w:rFonts w:hint="default"/>
          <w:color w:val="auto"/>
          <w:lang w:val="en-US" w:eastAsia="zh-CN"/>
        </w:rPr>
        <w:t>排水设施需定期巡查，如有损坏、淤塞需及时处理。</w:t>
      </w:r>
    </w:p>
    <w:p w14:paraId="3A7519D7">
      <w:pPr>
        <w:ind w:left="0" w:leftChars="0" w:firstLine="560" w:firstLineChars="200"/>
        <w:rPr>
          <w:color w:val="auto"/>
        </w:rPr>
      </w:pPr>
      <w:r>
        <w:rPr>
          <w:rFonts w:hint="eastAsia"/>
          <w:color w:val="auto"/>
          <w:lang w:val="en-US" w:eastAsia="zh-CN"/>
        </w:rPr>
        <w:t>4、</w:t>
      </w:r>
      <w:r>
        <w:rPr>
          <w:rFonts w:hint="eastAsia"/>
          <w:color w:val="auto"/>
        </w:rPr>
        <w:t>土地复垦工作完成后，建议做好后续植被管护工作，保证植被的存活率。</w:t>
      </w:r>
    </w:p>
    <w:p w14:paraId="24355966">
      <w:pPr>
        <w:pStyle w:val="4"/>
        <w:bidi w:val="0"/>
        <w:rPr>
          <w:color w:val="auto"/>
        </w:rPr>
      </w:pPr>
      <w:bookmarkStart w:id="543" w:name="_Toc10725"/>
      <w:bookmarkStart w:id="544" w:name="_Toc16023"/>
      <w:bookmarkStart w:id="545" w:name="_Toc100570462"/>
      <w:bookmarkStart w:id="546" w:name="_Toc105057993"/>
      <w:r>
        <w:rPr>
          <w:color w:val="auto"/>
        </w:rPr>
        <w:t>安全管理单元</w:t>
      </w:r>
      <w:bookmarkEnd w:id="543"/>
      <w:bookmarkEnd w:id="544"/>
      <w:bookmarkEnd w:id="545"/>
      <w:bookmarkEnd w:id="546"/>
    </w:p>
    <w:p w14:paraId="3DCAFBD2">
      <w:pPr>
        <w:numPr>
          <w:ilvl w:val="0"/>
          <w:numId w:val="8"/>
        </w:numPr>
        <w:rPr>
          <w:rFonts w:hint="default"/>
          <w:color w:val="auto"/>
          <w:lang w:val="en-US" w:eastAsia="zh-CN"/>
        </w:rPr>
      </w:pPr>
      <w:r>
        <w:rPr>
          <w:rFonts w:hint="eastAsia"/>
          <w:color w:val="auto"/>
          <w:lang w:val="en-US" w:eastAsia="zh-CN"/>
        </w:rPr>
        <w:t>进入尾矿库的道路建议使用固定拦挡，并增设警示标识；同时告知周边村民尾矿库的危险性，库区禁止放牧。</w:t>
      </w:r>
    </w:p>
    <w:p w14:paraId="29027869">
      <w:pPr>
        <w:numPr>
          <w:ilvl w:val="0"/>
          <w:numId w:val="8"/>
        </w:numPr>
        <w:rPr>
          <w:rFonts w:hint="default"/>
          <w:color w:val="auto"/>
          <w:lang w:val="en-US" w:eastAsia="zh-CN"/>
        </w:rPr>
      </w:pPr>
      <w:r>
        <w:rPr>
          <w:rFonts w:hint="eastAsia"/>
          <w:color w:val="auto"/>
          <w:lang w:val="en-US" w:eastAsia="zh-CN"/>
        </w:rPr>
        <w:t>监测期内必须按照规定对尾矿库各项重要指标进行监测，发现问题及时向上级部门反映。</w:t>
      </w:r>
    </w:p>
    <w:p w14:paraId="61DEFCCE">
      <w:pPr>
        <w:numPr>
          <w:ilvl w:val="0"/>
          <w:numId w:val="8"/>
        </w:numPr>
        <w:rPr>
          <w:rFonts w:hint="default"/>
          <w:color w:val="auto"/>
          <w:lang w:val="en-US" w:eastAsia="zh-CN"/>
        </w:rPr>
      </w:pPr>
      <w:r>
        <w:rPr>
          <w:rFonts w:hint="eastAsia"/>
          <w:color w:val="auto"/>
          <w:lang w:val="en-US" w:eastAsia="zh-CN"/>
        </w:rPr>
        <w:t>定期对尾矿库的防排水设施进行检查、维护，确保防排水设施通畅有效，雨季增加检查频次。</w:t>
      </w:r>
    </w:p>
    <w:p w14:paraId="2AFCB6BB">
      <w:pPr>
        <w:numPr>
          <w:ilvl w:val="0"/>
          <w:numId w:val="8"/>
        </w:numPr>
        <w:rPr>
          <w:color w:val="auto"/>
        </w:rPr>
      </w:pPr>
      <w:r>
        <w:rPr>
          <w:rFonts w:hint="eastAsia"/>
          <w:color w:val="auto"/>
          <w:lang w:val="en-US" w:eastAsia="zh-CN"/>
        </w:rPr>
        <w:t>尾矿库闭库销号手续由于历史原因已超过规定时限，建议竣工验收后尽快履行闭库销号手续。</w:t>
      </w:r>
      <w:r>
        <w:rPr>
          <w:color w:val="auto"/>
        </w:rPr>
        <w:br w:type="page"/>
      </w:r>
    </w:p>
    <w:p w14:paraId="1F186002">
      <w:pPr>
        <w:pStyle w:val="3"/>
        <w:outlineLvl w:val="0"/>
        <w:rPr>
          <w:color w:val="auto"/>
        </w:rPr>
      </w:pPr>
      <w:bookmarkStart w:id="547" w:name="_Toc100570463"/>
      <w:bookmarkStart w:id="548" w:name="_Toc4932"/>
      <w:bookmarkStart w:id="549" w:name="_Toc105057994"/>
      <w:bookmarkStart w:id="550" w:name="_Toc7694"/>
      <w:bookmarkStart w:id="551" w:name="_Hlk106806911"/>
      <w:bookmarkStart w:id="552" w:name="_Hlk106806898"/>
      <w:r>
        <w:rPr>
          <w:color w:val="auto"/>
        </w:rPr>
        <w:t>安全验收结论</w:t>
      </w:r>
      <w:bookmarkEnd w:id="547"/>
      <w:bookmarkEnd w:id="548"/>
      <w:bookmarkEnd w:id="549"/>
      <w:bookmarkEnd w:id="550"/>
    </w:p>
    <w:p w14:paraId="00474293">
      <w:pPr>
        <w:pStyle w:val="4"/>
        <w:outlineLvl w:val="1"/>
        <w:rPr>
          <w:rFonts w:cs="Times New Roman"/>
          <w:color w:val="auto"/>
        </w:rPr>
      </w:pPr>
      <w:bookmarkStart w:id="553" w:name="_Toc23487"/>
      <w:bookmarkStart w:id="554" w:name="_Toc100570464"/>
      <w:bookmarkStart w:id="555" w:name="_Toc2157"/>
      <w:bookmarkStart w:id="556" w:name="_Toc105057995"/>
      <w:r>
        <w:rPr>
          <w:rFonts w:cs="Times New Roman"/>
          <w:color w:val="auto"/>
        </w:rPr>
        <w:t>建设项目符合性评价综述</w:t>
      </w:r>
      <w:bookmarkEnd w:id="553"/>
      <w:bookmarkEnd w:id="554"/>
      <w:bookmarkEnd w:id="555"/>
      <w:bookmarkEnd w:id="556"/>
    </w:p>
    <w:p w14:paraId="38CF8DB2">
      <w:pPr>
        <w:pStyle w:val="5"/>
        <w:bidi w:val="0"/>
        <w:rPr>
          <w:rFonts w:hint="eastAsia"/>
          <w:color w:val="auto"/>
          <w:lang w:val="en-US" w:eastAsia="zh-CN"/>
        </w:rPr>
      </w:pPr>
      <w:bookmarkStart w:id="557" w:name="_Toc1009"/>
      <w:r>
        <w:rPr>
          <w:rFonts w:hint="eastAsia"/>
          <w:color w:val="auto"/>
          <w:lang w:val="en-US" w:eastAsia="zh-CN"/>
        </w:rPr>
        <w:t>建设项目与安全设施设计的符合性评价</w:t>
      </w:r>
      <w:bookmarkEnd w:id="557"/>
    </w:p>
    <w:p w14:paraId="63F462AD">
      <w:pPr>
        <w:rPr>
          <w:color w:val="auto"/>
        </w:rPr>
      </w:pPr>
      <w:r>
        <w:rPr>
          <w:color w:val="auto"/>
        </w:rPr>
        <w:t>通过对</w:t>
      </w:r>
      <w:r>
        <w:rPr>
          <w:rFonts w:hint="eastAsia"/>
          <w:color w:val="auto"/>
          <w:lang w:eastAsia="zh-CN"/>
        </w:rPr>
        <w:t>元谋县大远矿业有限公司红坡铁矿选厂尾矿库</w:t>
      </w:r>
      <w:r>
        <w:rPr>
          <w:color w:val="auto"/>
        </w:rPr>
        <w:t>闭库工程的现场检查，对各项安全管理资料、施工过程记录文件的查阅和分析，对照《</w:t>
      </w:r>
      <w:r>
        <w:rPr>
          <w:rFonts w:hint="eastAsia"/>
          <w:color w:val="auto"/>
          <w:lang w:eastAsia="zh-CN"/>
        </w:rPr>
        <w:t>元谋县大远矿业有限公司红坡铁矿选厂尾矿库闭库工程</w:t>
      </w:r>
      <w:r>
        <w:rPr>
          <w:color w:val="auto"/>
        </w:rPr>
        <w:t>安全设施设计》进行符合性评价。经评价认为：</w:t>
      </w:r>
      <w:r>
        <w:rPr>
          <w:rFonts w:hint="eastAsia"/>
          <w:color w:val="auto"/>
          <w:lang w:eastAsia="zh-CN"/>
        </w:rPr>
        <w:t>元谋县大远矿业有限公司红坡铁矿选厂尾矿库</w:t>
      </w:r>
      <w:r>
        <w:rPr>
          <w:color w:val="auto"/>
        </w:rPr>
        <w:t>闭库工程符合《</w:t>
      </w:r>
      <w:r>
        <w:rPr>
          <w:rFonts w:hint="eastAsia"/>
          <w:color w:val="auto"/>
          <w:lang w:eastAsia="zh-CN"/>
        </w:rPr>
        <w:t>元谋县大远矿业有限公司红坡铁矿选厂尾矿库闭库工程</w:t>
      </w:r>
      <w:r>
        <w:rPr>
          <w:color w:val="auto"/>
        </w:rPr>
        <w:t>安全设施设计》的要求。</w:t>
      </w:r>
    </w:p>
    <w:p w14:paraId="21AAF3F3">
      <w:pPr>
        <w:pStyle w:val="5"/>
        <w:bidi w:val="0"/>
        <w:rPr>
          <w:rFonts w:hint="eastAsia" w:ascii="Times New Roman" w:hAnsi="Times New Roman" w:eastAsia="宋体" w:cs="Times New Roman"/>
          <w:color w:val="auto"/>
          <w:lang w:val="en-US" w:eastAsia="zh-CN"/>
        </w:rPr>
      </w:pPr>
      <w:bookmarkStart w:id="558" w:name="_Toc29678"/>
      <w:r>
        <w:rPr>
          <w:rFonts w:hint="eastAsia" w:ascii="Times New Roman" w:hAnsi="Times New Roman" w:eastAsia="宋体" w:cs="Times New Roman"/>
          <w:color w:val="auto"/>
          <w:lang w:val="en-US" w:eastAsia="zh-CN"/>
        </w:rPr>
        <w:t>建设项目安全设施竣工验收表</w:t>
      </w:r>
      <w:bookmarkEnd w:id="558"/>
    </w:p>
    <w:p w14:paraId="1DB803EB">
      <w:pPr>
        <w:bidi w:val="0"/>
        <w:rPr>
          <w:rFonts w:hint="eastAsia"/>
          <w:color w:val="auto"/>
          <w:lang w:val="en-US" w:eastAsia="zh-CN"/>
        </w:rPr>
      </w:pPr>
      <w:r>
        <w:rPr>
          <w:rFonts w:hint="eastAsia"/>
          <w:color w:val="auto"/>
          <w:lang w:val="en-US" w:eastAsia="zh-CN"/>
        </w:rPr>
        <w:t>根据《国家安全监管总局关于规范金属非金属矿山建设项目安全设施竣工验收工作的通知》（安监总管一（2016）14号）附表《金属非金属露天矿山建设项目安全设施竣工验收表》的验收要求，依据国家相关法律、法规及标准规范，评价组作出如下评价结论：</w:t>
      </w:r>
    </w:p>
    <w:p w14:paraId="58F613E5">
      <w:pPr>
        <w:bidi w:val="0"/>
        <w:rPr>
          <w:rFonts w:hint="eastAsia"/>
          <w:color w:val="auto"/>
          <w:highlight w:val="none"/>
          <w:lang w:val="en-US" w:eastAsia="zh-CN"/>
        </w:rPr>
      </w:pPr>
      <w:r>
        <w:rPr>
          <w:rFonts w:hint="eastAsia"/>
          <w:color w:val="auto"/>
          <w:highlight w:val="none"/>
          <w:lang w:val="en-US" w:eastAsia="zh-CN"/>
        </w:rPr>
        <w:t>本次验收检查项总数为44项，其中否决项6项，检查结果为“不符的”0项，一般项38项，检查结果为“不符合”的2项，检查结果为“不符合”的占检查项数的比列为4.5%（详见附件18）综上所述元谋县大远矿业有限公司红坡铁矿选厂尾矿库闭库安全设施建设符合安全设施验收条件。</w:t>
      </w:r>
    </w:p>
    <w:p w14:paraId="5954A2F2">
      <w:pPr>
        <w:pStyle w:val="4"/>
        <w:bidi w:val="0"/>
        <w:rPr>
          <w:rFonts w:hint="eastAsia"/>
          <w:color w:val="auto"/>
          <w:lang w:val="en-US" w:eastAsia="zh-CN"/>
        </w:rPr>
      </w:pPr>
      <w:bookmarkStart w:id="559" w:name="_Toc1287"/>
      <w:r>
        <w:rPr>
          <w:rFonts w:hint="eastAsia"/>
          <w:color w:val="auto"/>
          <w:lang w:val="en-US" w:eastAsia="zh-CN"/>
        </w:rPr>
        <w:t>尾矿库闭库条件分析</w:t>
      </w:r>
      <w:bookmarkEnd w:id="559"/>
    </w:p>
    <w:p w14:paraId="287B73A2">
      <w:pPr>
        <w:bidi w:val="0"/>
        <w:rPr>
          <w:rFonts w:hint="eastAsia"/>
          <w:color w:val="auto"/>
          <w:lang w:val="en-US" w:eastAsia="zh-CN"/>
        </w:rPr>
      </w:pPr>
      <w:r>
        <w:rPr>
          <w:rFonts w:hint="eastAsia"/>
          <w:color w:val="auto"/>
          <w:lang w:val="en-US" w:eastAsia="zh-CN"/>
        </w:rPr>
        <w:t>根据《云南省尾矿库闭库销号管理办法（试行）》（云应急[2021]20号，2021年3月31日发布，2021年5月1日起执行。）第六条之规定，符合下列条件之一的尾矿库，应当实施闭库。</w:t>
      </w:r>
    </w:p>
    <w:p w14:paraId="68157D45">
      <w:pPr>
        <w:snapToGrid/>
        <w:spacing w:line="500" w:lineRule="exact"/>
        <w:ind w:firstLine="0" w:firstLineChars="0"/>
        <w:jc w:val="center"/>
        <w:rPr>
          <w:rFonts w:hint="eastAsia" w:ascii="宋体" w:hAnsi="宋体" w:eastAsia="宋体"/>
          <w:b/>
          <w:snapToGrid/>
          <w:color w:val="auto"/>
          <w:kern w:val="2"/>
          <w:sz w:val="21"/>
          <w:szCs w:val="28"/>
        </w:rPr>
      </w:pPr>
      <w:r>
        <w:rPr>
          <w:rFonts w:hint="eastAsia" w:ascii="宋体" w:hAnsi="宋体" w:eastAsia="宋体"/>
          <w:b/>
          <w:snapToGrid/>
          <w:color w:val="auto"/>
          <w:kern w:val="2"/>
          <w:sz w:val="21"/>
          <w:szCs w:val="28"/>
        </w:rPr>
        <w:t>表</w:t>
      </w:r>
      <w:r>
        <w:rPr>
          <w:rFonts w:hint="eastAsia" w:ascii="宋体" w:hAnsi="宋体"/>
          <w:b/>
          <w:snapToGrid/>
          <w:color w:val="auto"/>
          <w:kern w:val="2"/>
          <w:sz w:val="21"/>
          <w:szCs w:val="28"/>
          <w:lang w:val="en-US" w:eastAsia="zh-CN"/>
        </w:rPr>
        <w:t>6-1</w:t>
      </w:r>
      <w:r>
        <w:rPr>
          <w:rFonts w:hint="eastAsia" w:ascii="宋体" w:hAnsi="宋体" w:eastAsia="宋体"/>
          <w:b/>
          <w:snapToGrid/>
          <w:color w:val="auto"/>
          <w:kern w:val="2"/>
          <w:sz w:val="21"/>
          <w:szCs w:val="28"/>
          <w:lang w:eastAsia="zh-CN"/>
        </w:rPr>
        <w:t>尾矿库闭库条件</w:t>
      </w:r>
      <w:r>
        <w:rPr>
          <w:rFonts w:hint="eastAsia" w:ascii="宋体" w:hAnsi="宋体" w:eastAsia="宋体"/>
          <w:b/>
          <w:snapToGrid/>
          <w:color w:val="auto"/>
          <w:kern w:val="2"/>
          <w:sz w:val="21"/>
          <w:szCs w:val="28"/>
        </w:rPr>
        <w:t>安全检查表</w:t>
      </w:r>
    </w:p>
    <w:tbl>
      <w:tblPr>
        <w:tblStyle w:val="57"/>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1"/>
        <w:gridCol w:w="3194"/>
        <w:gridCol w:w="1926"/>
        <w:gridCol w:w="3022"/>
        <w:gridCol w:w="654"/>
      </w:tblGrid>
      <w:tr w14:paraId="71A863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1" w:hRule="atLeast"/>
          <w:tblHeader/>
          <w:jc w:val="center"/>
        </w:trPr>
        <w:tc>
          <w:tcPr>
            <w:tcW w:w="0" w:type="auto"/>
            <w:tcBorders>
              <w:left w:val="single" w:color="auto" w:sz="4" w:space="0"/>
            </w:tcBorders>
            <w:noWrap w:val="0"/>
            <w:vAlign w:val="center"/>
          </w:tcPr>
          <w:p w14:paraId="0BEC42C6">
            <w:pPr>
              <w:adjustRightInd w:val="0"/>
              <w:snapToGrid w:val="0"/>
              <w:spacing w:line="240" w:lineRule="auto"/>
              <w:ind w:firstLine="0" w:firstLineChars="0"/>
              <w:jc w:val="center"/>
              <w:rPr>
                <w:rFonts w:ascii="宋体" w:hAnsi="宋体" w:eastAsia="宋体"/>
                <w:snapToGrid/>
                <w:color w:val="auto"/>
                <w:kern w:val="2"/>
                <w:sz w:val="21"/>
                <w:szCs w:val="21"/>
              </w:rPr>
            </w:pPr>
            <w:r>
              <w:rPr>
                <w:rFonts w:ascii="宋体" w:hAnsi="宋体" w:eastAsia="宋体"/>
                <w:snapToGrid/>
                <w:color w:val="auto"/>
                <w:kern w:val="2"/>
                <w:sz w:val="21"/>
                <w:szCs w:val="21"/>
              </w:rPr>
              <w:t>序号</w:t>
            </w:r>
          </w:p>
        </w:tc>
        <w:tc>
          <w:tcPr>
            <w:tcW w:w="0" w:type="auto"/>
            <w:tcBorders>
              <w:right w:val="single" w:color="auto" w:sz="4" w:space="0"/>
            </w:tcBorders>
            <w:noWrap w:val="0"/>
            <w:vAlign w:val="center"/>
          </w:tcPr>
          <w:p w14:paraId="22DEAECE">
            <w:pPr>
              <w:adjustRightInd w:val="0"/>
              <w:snapToGrid w:val="0"/>
              <w:spacing w:line="240" w:lineRule="auto"/>
              <w:ind w:firstLine="0" w:firstLineChars="0"/>
              <w:jc w:val="center"/>
              <w:rPr>
                <w:rFonts w:ascii="宋体" w:hAnsi="宋体" w:eastAsia="宋体"/>
                <w:snapToGrid/>
                <w:color w:val="auto"/>
                <w:kern w:val="2"/>
                <w:sz w:val="21"/>
                <w:szCs w:val="21"/>
              </w:rPr>
            </w:pPr>
            <w:r>
              <w:rPr>
                <w:rFonts w:ascii="宋体" w:hAnsi="宋体" w:eastAsia="宋体"/>
                <w:snapToGrid/>
                <w:color w:val="auto"/>
                <w:kern w:val="2"/>
                <w:sz w:val="21"/>
                <w:szCs w:val="21"/>
              </w:rPr>
              <w:t>检查内容</w:t>
            </w:r>
          </w:p>
        </w:tc>
        <w:tc>
          <w:tcPr>
            <w:tcW w:w="1926" w:type="dxa"/>
            <w:tcBorders>
              <w:right w:val="single" w:color="auto" w:sz="4" w:space="0"/>
            </w:tcBorders>
            <w:noWrap w:val="0"/>
            <w:vAlign w:val="center"/>
          </w:tcPr>
          <w:p w14:paraId="7D1ACAA5">
            <w:pPr>
              <w:adjustRightInd w:val="0"/>
              <w:snapToGrid w:val="0"/>
              <w:spacing w:line="240" w:lineRule="auto"/>
              <w:ind w:firstLine="0" w:firstLineChars="0"/>
              <w:jc w:val="center"/>
              <w:rPr>
                <w:rFonts w:ascii="宋体" w:hAnsi="宋体" w:eastAsia="宋体"/>
                <w:snapToGrid/>
                <w:color w:val="auto"/>
                <w:kern w:val="2"/>
                <w:sz w:val="21"/>
                <w:szCs w:val="21"/>
              </w:rPr>
            </w:pPr>
            <w:r>
              <w:rPr>
                <w:rFonts w:ascii="宋体" w:hAnsi="宋体" w:eastAsia="宋体"/>
                <w:snapToGrid/>
                <w:color w:val="auto"/>
                <w:kern w:val="2"/>
                <w:sz w:val="21"/>
                <w:szCs w:val="21"/>
              </w:rPr>
              <w:t>依据</w:t>
            </w:r>
          </w:p>
        </w:tc>
        <w:tc>
          <w:tcPr>
            <w:tcW w:w="3022" w:type="dxa"/>
            <w:tcBorders>
              <w:right w:val="single" w:color="auto" w:sz="4" w:space="0"/>
            </w:tcBorders>
            <w:noWrap w:val="0"/>
            <w:vAlign w:val="center"/>
          </w:tcPr>
          <w:p w14:paraId="4B1914A2">
            <w:pPr>
              <w:adjustRightInd w:val="0"/>
              <w:snapToGrid w:val="0"/>
              <w:spacing w:line="240" w:lineRule="auto"/>
              <w:ind w:firstLine="0" w:firstLineChars="0"/>
              <w:jc w:val="center"/>
              <w:rPr>
                <w:rFonts w:ascii="宋体" w:hAnsi="宋体" w:eastAsia="宋体"/>
                <w:snapToGrid/>
                <w:color w:val="auto"/>
                <w:kern w:val="2"/>
                <w:sz w:val="21"/>
                <w:szCs w:val="21"/>
              </w:rPr>
            </w:pPr>
            <w:r>
              <w:rPr>
                <w:rFonts w:ascii="宋体" w:hAnsi="宋体" w:eastAsia="宋体"/>
                <w:snapToGrid/>
                <w:color w:val="auto"/>
                <w:kern w:val="2"/>
                <w:sz w:val="21"/>
                <w:szCs w:val="21"/>
              </w:rPr>
              <w:t>结论</w:t>
            </w:r>
          </w:p>
        </w:tc>
        <w:tc>
          <w:tcPr>
            <w:tcW w:w="654" w:type="dxa"/>
            <w:tcBorders>
              <w:right w:val="single" w:color="auto" w:sz="4" w:space="0"/>
            </w:tcBorders>
            <w:noWrap w:val="0"/>
            <w:vAlign w:val="center"/>
          </w:tcPr>
          <w:p w14:paraId="7FB851BD">
            <w:pPr>
              <w:adjustRightInd w:val="0"/>
              <w:snapToGrid w:val="0"/>
              <w:spacing w:line="240" w:lineRule="auto"/>
              <w:ind w:firstLine="0" w:firstLineChars="0"/>
              <w:jc w:val="center"/>
              <w:rPr>
                <w:rFonts w:hint="eastAsia" w:ascii="宋体" w:hAnsi="宋体" w:eastAsia="宋体"/>
                <w:snapToGrid/>
                <w:color w:val="auto"/>
                <w:kern w:val="2"/>
                <w:sz w:val="21"/>
                <w:szCs w:val="21"/>
                <w:lang w:eastAsia="zh-CN"/>
              </w:rPr>
            </w:pPr>
            <w:r>
              <w:rPr>
                <w:rFonts w:hint="eastAsia" w:ascii="宋体" w:hAnsi="宋体" w:eastAsia="宋体"/>
                <w:snapToGrid/>
                <w:color w:val="auto"/>
                <w:kern w:val="2"/>
                <w:sz w:val="21"/>
                <w:szCs w:val="21"/>
                <w:lang w:eastAsia="zh-CN"/>
              </w:rPr>
              <w:t>检查</w:t>
            </w:r>
          </w:p>
          <w:p w14:paraId="5B53F18E">
            <w:pPr>
              <w:adjustRightInd w:val="0"/>
              <w:snapToGrid w:val="0"/>
              <w:spacing w:line="240" w:lineRule="auto"/>
              <w:ind w:firstLine="0" w:firstLineChars="0"/>
              <w:jc w:val="center"/>
              <w:rPr>
                <w:rFonts w:hint="eastAsia" w:ascii="宋体" w:hAnsi="宋体" w:eastAsia="宋体"/>
                <w:snapToGrid/>
                <w:color w:val="auto"/>
                <w:kern w:val="2"/>
                <w:sz w:val="21"/>
                <w:szCs w:val="21"/>
                <w:lang w:eastAsia="zh-CN"/>
              </w:rPr>
            </w:pPr>
            <w:r>
              <w:rPr>
                <w:rFonts w:hint="eastAsia" w:ascii="宋体" w:hAnsi="宋体" w:eastAsia="宋体"/>
                <w:snapToGrid/>
                <w:color w:val="auto"/>
                <w:kern w:val="2"/>
                <w:sz w:val="21"/>
                <w:szCs w:val="21"/>
                <w:lang w:eastAsia="zh-CN"/>
              </w:rPr>
              <w:t>结果</w:t>
            </w:r>
          </w:p>
        </w:tc>
      </w:tr>
      <w:tr w14:paraId="342AF3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0" w:type="auto"/>
            <w:tcBorders>
              <w:left w:val="single" w:color="auto" w:sz="4" w:space="0"/>
            </w:tcBorders>
            <w:noWrap w:val="0"/>
            <w:vAlign w:val="center"/>
          </w:tcPr>
          <w:p w14:paraId="54EC7B7C">
            <w:pPr>
              <w:adjustRightInd w:val="0"/>
              <w:snapToGrid w:val="0"/>
              <w:spacing w:line="240" w:lineRule="auto"/>
              <w:ind w:firstLine="0" w:firstLineChars="0"/>
              <w:jc w:val="center"/>
              <w:rPr>
                <w:rFonts w:hint="eastAsia" w:ascii="宋体" w:hAnsi="宋体" w:eastAsia="宋体"/>
                <w:snapToGrid/>
                <w:color w:val="auto"/>
                <w:kern w:val="2"/>
                <w:sz w:val="21"/>
                <w:szCs w:val="21"/>
              </w:rPr>
            </w:pPr>
            <w:r>
              <w:rPr>
                <w:rFonts w:hint="eastAsia" w:ascii="宋体" w:hAnsi="宋体" w:eastAsia="宋体"/>
                <w:snapToGrid/>
                <w:color w:val="auto"/>
                <w:kern w:val="2"/>
                <w:sz w:val="21"/>
                <w:szCs w:val="21"/>
              </w:rPr>
              <w:t>1</w:t>
            </w:r>
          </w:p>
        </w:tc>
        <w:tc>
          <w:tcPr>
            <w:tcW w:w="0" w:type="auto"/>
            <w:tcBorders>
              <w:right w:val="single" w:color="auto" w:sz="4" w:space="0"/>
            </w:tcBorders>
            <w:noWrap w:val="0"/>
            <w:vAlign w:val="top"/>
          </w:tcPr>
          <w:p w14:paraId="724BC7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涉及各类自然保护区、饮用水水源保护区、风景名胜区、基本农田保护区和坐态红线的；</w:t>
            </w:r>
          </w:p>
        </w:tc>
        <w:tc>
          <w:tcPr>
            <w:tcW w:w="1926" w:type="dxa"/>
            <w:vMerge w:val="restart"/>
            <w:tcBorders>
              <w:right w:val="single" w:color="auto" w:sz="4" w:space="0"/>
            </w:tcBorders>
            <w:noWrap w:val="0"/>
            <w:vAlign w:val="center"/>
          </w:tcPr>
          <w:p w14:paraId="78E57121">
            <w:pPr>
              <w:adjustRightInd w:val="0"/>
              <w:snapToGrid w:val="0"/>
              <w:spacing w:line="240" w:lineRule="auto"/>
              <w:ind w:firstLine="0" w:firstLineChars="0"/>
              <w:rPr>
                <w:rFonts w:ascii="宋体" w:hAnsi="宋体" w:eastAsia="宋体"/>
                <w:snapToGrid/>
                <w:color w:val="auto"/>
                <w:kern w:val="2"/>
                <w:sz w:val="21"/>
                <w:szCs w:val="21"/>
              </w:rPr>
            </w:pPr>
            <w:r>
              <w:rPr>
                <w:rFonts w:hint="eastAsia" w:ascii="Calibri" w:hAnsi="Calibri" w:eastAsia="宋体"/>
                <w:b w:val="0"/>
                <w:bCs w:val="0"/>
                <w:snapToGrid/>
                <w:color w:val="auto"/>
                <w:kern w:val="2"/>
                <w:sz w:val="21"/>
                <w:szCs w:val="21"/>
                <w:lang w:eastAsia="zh-CN"/>
              </w:rPr>
              <w:t>云南省尾矿库闭库销号管理办法（试行）云应急</w:t>
            </w:r>
            <w:r>
              <w:rPr>
                <w:rFonts w:hint="eastAsia" w:ascii="Calibri" w:hAnsi="Calibri" w:eastAsia="宋体"/>
                <w:b w:val="0"/>
                <w:bCs w:val="0"/>
                <w:snapToGrid/>
                <w:color w:val="auto"/>
                <w:kern w:val="2"/>
                <w:sz w:val="21"/>
                <w:szCs w:val="21"/>
                <w:lang w:val="en-US" w:eastAsia="zh-CN"/>
              </w:rPr>
              <w:t>[2021]20号</w:t>
            </w:r>
          </w:p>
        </w:tc>
        <w:tc>
          <w:tcPr>
            <w:tcW w:w="3022" w:type="dxa"/>
            <w:tcBorders>
              <w:right w:val="single" w:color="auto" w:sz="4" w:space="0"/>
            </w:tcBorders>
            <w:noWrap w:val="0"/>
            <w:vAlign w:val="center"/>
          </w:tcPr>
          <w:p w14:paraId="5C397FD7">
            <w:pPr>
              <w:adjustRightInd w:val="0"/>
              <w:snapToGrid w:val="0"/>
              <w:spacing w:line="240" w:lineRule="auto"/>
              <w:ind w:firstLine="0" w:firstLineChars="0"/>
              <w:jc w:val="left"/>
              <w:rPr>
                <w:rFonts w:hint="eastAsia" w:ascii="宋体" w:hAnsi="宋体" w:eastAsia="宋体"/>
                <w:snapToGrid/>
                <w:color w:val="auto"/>
                <w:kern w:val="2"/>
                <w:sz w:val="21"/>
                <w:szCs w:val="21"/>
                <w:lang w:eastAsia="zh-CN"/>
              </w:rPr>
            </w:pPr>
            <w:r>
              <w:rPr>
                <w:rFonts w:hint="eastAsia" w:ascii="宋体" w:hAnsi="宋体" w:eastAsia="宋体"/>
                <w:snapToGrid/>
                <w:color w:val="auto"/>
                <w:kern w:val="2"/>
                <w:sz w:val="21"/>
                <w:szCs w:val="21"/>
                <w:lang w:eastAsia="zh-CN"/>
              </w:rPr>
              <w:t>涉及的必须闭库，不涉及。</w:t>
            </w:r>
          </w:p>
        </w:tc>
        <w:tc>
          <w:tcPr>
            <w:tcW w:w="654" w:type="dxa"/>
            <w:tcBorders>
              <w:right w:val="single" w:color="auto" w:sz="4" w:space="0"/>
            </w:tcBorders>
            <w:noWrap w:val="0"/>
            <w:vAlign w:val="center"/>
          </w:tcPr>
          <w:p w14:paraId="3EF16AB5">
            <w:pPr>
              <w:adjustRightInd w:val="0"/>
              <w:snapToGrid w:val="0"/>
              <w:spacing w:line="240" w:lineRule="auto"/>
              <w:ind w:firstLine="0" w:firstLineChars="0"/>
              <w:jc w:val="center"/>
              <w:rPr>
                <w:rFonts w:hint="eastAsia" w:ascii="宋体" w:hAnsi="宋体" w:eastAsia="宋体"/>
                <w:snapToGrid/>
                <w:color w:val="auto"/>
                <w:kern w:val="2"/>
                <w:sz w:val="21"/>
                <w:szCs w:val="21"/>
                <w:lang w:eastAsia="zh-CN"/>
              </w:rPr>
            </w:pPr>
            <w:r>
              <w:rPr>
                <w:rFonts w:hint="eastAsia" w:ascii="宋体" w:hAnsi="宋体" w:eastAsia="宋体"/>
                <w:snapToGrid/>
                <w:color w:val="auto"/>
                <w:kern w:val="2"/>
                <w:sz w:val="21"/>
                <w:szCs w:val="21"/>
                <w:lang w:eastAsia="zh-CN"/>
              </w:rPr>
              <w:t>符合</w:t>
            </w:r>
          </w:p>
        </w:tc>
      </w:tr>
      <w:tr w14:paraId="497FF00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0" w:type="auto"/>
            <w:tcBorders>
              <w:left w:val="single" w:color="auto" w:sz="4" w:space="0"/>
            </w:tcBorders>
            <w:noWrap w:val="0"/>
            <w:vAlign w:val="center"/>
          </w:tcPr>
          <w:p w14:paraId="62DCEC29">
            <w:pPr>
              <w:adjustRightInd w:val="0"/>
              <w:snapToGrid w:val="0"/>
              <w:spacing w:line="240" w:lineRule="auto"/>
              <w:ind w:firstLine="0" w:firstLineChars="0"/>
              <w:jc w:val="center"/>
              <w:rPr>
                <w:rFonts w:hint="eastAsia" w:ascii="宋体" w:hAnsi="宋体" w:eastAsia="宋体"/>
                <w:snapToGrid/>
                <w:color w:val="auto"/>
                <w:kern w:val="2"/>
                <w:sz w:val="21"/>
                <w:szCs w:val="21"/>
              </w:rPr>
            </w:pPr>
            <w:r>
              <w:rPr>
                <w:rFonts w:hint="eastAsia" w:ascii="宋体" w:hAnsi="宋体" w:eastAsia="宋体"/>
                <w:snapToGrid/>
                <w:color w:val="auto"/>
                <w:kern w:val="2"/>
                <w:sz w:val="21"/>
                <w:szCs w:val="21"/>
              </w:rPr>
              <w:t>2</w:t>
            </w:r>
          </w:p>
        </w:tc>
        <w:tc>
          <w:tcPr>
            <w:tcW w:w="0" w:type="auto"/>
            <w:tcBorders>
              <w:right w:val="single" w:color="auto" w:sz="4" w:space="0"/>
            </w:tcBorders>
            <w:noWrap w:val="0"/>
            <w:vAlign w:val="center"/>
          </w:tcPr>
          <w:p w14:paraId="5EADBBED">
            <w:pPr>
              <w:adjustRightInd w:val="0"/>
              <w:snapToGrid w:val="0"/>
              <w:spacing w:line="240" w:lineRule="auto"/>
              <w:ind w:firstLine="0" w:firstLineChars="0"/>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不具备安全生产、环境保护等条件的；</w:t>
            </w:r>
          </w:p>
        </w:tc>
        <w:tc>
          <w:tcPr>
            <w:tcW w:w="1926" w:type="dxa"/>
            <w:vMerge w:val="continue"/>
            <w:tcBorders>
              <w:right w:val="single" w:color="auto" w:sz="4" w:space="0"/>
            </w:tcBorders>
            <w:noWrap w:val="0"/>
            <w:vAlign w:val="center"/>
          </w:tcPr>
          <w:p w14:paraId="17F56F2B">
            <w:pPr>
              <w:adjustRightInd w:val="0"/>
              <w:snapToGrid w:val="0"/>
              <w:spacing w:line="240" w:lineRule="auto"/>
              <w:ind w:firstLine="0" w:firstLineChars="0"/>
              <w:rPr>
                <w:rFonts w:ascii="宋体" w:hAnsi="宋体" w:eastAsia="宋体"/>
                <w:snapToGrid/>
                <w:color w:val="auto"/>
                <w:kern w:val="2"/>
                <w:sz w:val="21"/>
                <w:szCs w:val="21"/>
              </w:rPr>
            </w:pPr>
          </w:p>
        </w:tc>
        <w:tc>
          <w:tcPr>
            <w:tcW w:w="3022" w:type="dxa"/>
            <w:tcBorders>
              <w:right w:val="single" w:color="auto" w:sz="4" w:space="0"/>
            </w:tcBorders>
            <w:noWrap w:val="0"/>
            <w:vAlign w:val="center"/>
          </w:tcPr>
          <w:p w14:paraId="70D61104">
            <w:pPr>
              <w:adjustRightInd w:val="0"/>
              <w:snapToGrid w:val="0"/>
              <w:spacing w:line="240" w:lineRule="auto"/>
              <w:ind w:firstLine="0" w:firstLineChars="0"/>
              <w:jc w:val="left"/>
              <w:rPr>
                <w:rFonts w:hint="eastAsia" w:ascii="宋体" w:hAnsi="宋体" w:eastAsia="宋体"/>
                <w:snapToGrid/>
                <w:color w:val="auto"/>
                <w:kern w:val="2"/>
                <w:sz w:val="21"/>
                <w:szCs w:val="21"/>
                <w:lang w:eastAsia="zh-CN"/>
              </w:rPr>
            </w:pPr>
            <w:r>
              <w:rPr>
                <w:rFonts w:hint="eastAsia" w:ascii="宋体" w:hAnsi="宋体" w:eastAsia="宋体"/>
                <w:snapToGrid/>
                <w:color w:val="auto"/>
                <w:kern w:val="2"/>
                <w:sz w:val="21"/>
                <w:szCs w:val="21"/>
                <w:lang w:eastAsia="zh-CN"/>
              </w:rPr>
              <w:t>不具备</w:t>
            </w:r>
            <w:r>
              <w:rPr>
                <w:rFonts w:hint="eastAsia" w:ascii="Calibri" w:hAnsi="Calibri" w:eastAsia="宋体"/>
                <w:snapToGrid/>
                <w:color w:val="auto"/>
                <w:kern w:val="2"/>
                <w:sz w:val="21"/>
                <w:szCs w:val="21"/>
                <w:lang w:eastAsia="zh-CN"/>
              </w:rPr>
              <w:t>安全生产、环境保护等条件。</w:t>
            </w:r>
          </w:p>
        </w:tc>
        <w:tc>
          <w:tcPr>
            <w:tcW w:w="654" w:type="dxa"/>
            <w:tcBorders>
              <w:right w:val="single" w:color="auto" w:sz="4" w:space="0"/>
            </w:tcBorders>
            <w:noWrap w:val="0"/>
            <w:vAlign w:val="center"/>
          </w:tcPr>
          <w:p w14:paraId="19301A07">
            <w:pPr>
              <w:adjustRightInd w:val="0"/>
              <w:snapToGrid w:val="0"/>
              <w:spacing w:line="240" w:lineRule="auto"/>
              <w:ind w:firstLine="0" w:firstLineChars="0"/>
              <w:jc w:val="center"/>
              <w:rPr>
                <w:rFonts w:hint="eastAsia" w:ascii="宋体" w:hAnsi="宋体" w:eastAsia="宋体"/>
                <w:snapToGrid/>
                <w:color w:val="auto"/>
                <w:kern w:val="2"/>
                <w:sz w:val="21"/>
                <w:szCs w:val="21"/>
              </w:rPr>
            </w:pPr>
            <w:r>
              <w:rPr>
                <w:rFonts w:hint="eastAsia" w:ascii="宋体" w:hAnsi="宋体" w:eastAsia="宋体"/>
                <w:snapToGrid/>
                <w:color w:val="auto"/>
                <w:kern w:val="2"/>
                <w:sz w:val="21"/>
                <w:szCs w:val="21"/>
                <w:lang w:eastAsia="zh-CN"/>
              </w:rPr>
              <w:t>符合</w:t>
            </w:r>
          </w:p>
        </w:tc>
      </w:tr>
      <w:tr w14:paraId="70F043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0" w:type="auto"/>
            <w:tcBorders>
              <w:left w:val="single" w:color="auto" w:sz="4" w:space="0"/>
            </w:tcBorders>
            <w:noWrap w:val="0"/>
            <w:vAlign w:val="center"/>
          </w:tcPr>
          <w:p w14:paraId="40439100">
            <w:pPr>
              <w:adjustRightInd w:val="0"/>
              <w:snapToGrid w:val="0"/>
              <w:spacing w:line="240" w:lineRule="auto"/>
              <w:ind w:firstLine="0" w:firstLineChars="0"/>
              <w:jc w:val="center"/>
              <w:rPr>
                <w:rFonts w:hint="eastAsia" w:ascii="宋体" w:hAnsi="宋体" w:eastAsia="宋体"/>
                <w:snapToGrid/>
                <w:color w:val="auto"/>
                <w:kern w:val="2"/>
                <w:sz w:val="21"/>
                <w:szCs w:val="21"/>
              </w:rPr>
            </w:pPr>
            <w:r>
              <w:rPr>
                <w:rFonts w:hint="eastAsia" w:ascii="宋体" w:hAnsi="宋体" w:eastAsia="宋体"/>
                <w:snapToGrid/>
                <w:color w:val="auto"/>
                <w:kern w:val="2"/>
                <w:sz w:val="21"/>
                <w:szCs w:val="21"/>
              </w:rPr>
              <w:t>3</w:t>
            </w:r>
          </w:p>
        </w:tc>
        <w:tc>
          <w:tcPr>
            <w:tcW w:w="0" w:type="auto"/>
            <w:tcBorders>
              <w:right w:val="single" w:color="auto" w:sz="4" w:space="0"/>
            </w:tcBorders>
            <w:noWrap w:val="0"/>
            <w:vAlign w:val="center"/>
          </w:tcPr>
          <w:p w14:paraId="76DDAC8A">
            <w:pPr>
              <w:adjustRightInd w:val="0"/>
              <w:snapToGrid w:val="0"/>
              <w:spacing w:line="240" w:lineRule="auto"/>
              <w:ind w:firstLine="0" w:firstLineChars="0"/>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运行到设计最终标高或者不再进行排尾作业的；</w:t>
            </w:r>
          </w:p>
        </w:tc>
        <w:tc>
          <w:tcPr>
            <w:tcW w:w="1926" w:type="dxa"/>
            <w:vMerge w:val="continue"/>
            <w:tcBorders>
              <w:right w:val="single" w:color="auto" w:sz="4" w:space="0"/>
            </w:tcBorders>
            <w:noWrap w:val="0"/>
            <w:vAlign w:val="center"/>
          </w:tcPr>
          <w:p w14:paraId="1C438DFB">
            <w:pPr>
              <w:snapToGrid/>
              <w:spacing w:line="240" w:lineRule="auto"/>
              <w:ind w:firstLine="0" w:firstLineChars="0"/>
              <w:rPr>
                <w:rFonts w:ascii="宋体" w:hAnsi="宋体" w:eastAsia="宋体"/>
                <w:snapToGrid/>
                <w:color w:val="auto"/>
                <w:kern w:val="2"/>
                <w:sz w:val="21"/>
                <w:szCs w:val="21"/>
              </w:rPr>
            </w:pPr>
          </w:p>
        </w:tc>
        <w:tc>
          <w:tcPr>
            <w:tcW w:w="3022" w:type="dxa"/>
            <w:tcBorders>
              <w:right w:val="single" w:color="auto" w:sz="4" w:space="0"/>
            </w:tcBorders>
            <w:noWrap w:val="0"/>
            <w:vAlign w:val="center"/>
          </w:tcPr>
          <w:p w14:paraId="11A9FB0B">
            <w:pPr>
              <w:adjustRightInd w:val="0"/>
              <w:snapToGrid w:val="0"/>
              <w:spacing w:line="240" w:lineRule="auto"/>
              <w:ind w:firstLine="0" w:firstLineChars="0"/>
              <w:jc w:val="left"/>
              <w:rPr>
                <w:rFonts w:hint="eastAsia" w:ascii="宋体" w:hAnsi="宋体" w:eastAsia="宋体"/>
                <w:snapToGrid/>
                <w:color w:val="auto"/>
                <w:kern w:val="2"/>
                <w:sz w:val="21"/>
                <w:szCs w:val="21"/>
                <w:lang w:eastAsia="zh-CN"/>
              </w:rPr>
            </w:pPr>
            <w:r>
              <w:rPr>
                <w:rFonts w:hint="eastAsia" w:ascii="宋体" w:hAnsi="宋体" w:eastAsia="宋体"/>
                <w:snapToGrid/>
                <w:color w:val="auto"/>
                <w:kern w:val="2"/>
                <w:sz w:val="21"/>
                <w:szCs w:val="21"/>
                <w:lang w:eastAsia="zh-CN"/>
              </w:rPr>
              <w:t>已停止运行，</w:t>
            </w:r>
            <w:r>
              <w:rPr>
                <w:rFonts w:hint="eastAsia" w:ascii="Calibri" w:hAnsi="Calibri" w:eastAsia="宋体"/>
                <w:snapToGrid/>
                <w:color w:val="auto"/>
                <w:kern w:val="2"/>
                <w:sz w:val="21"/>
                <w:szCs w:val="21"/>
                <w:lang w:eastAsia="zh-CN"/>
              </w:rPr>
              <w:t>不再进行排尾作业</w:t>
            </w:r>
          </w:p>
        </w:tc>
        <w:tc>
          <w:tcPr>
            <w:tcW w:w="654" w:type="dxa"/>
            <w:tcBorders>
              <w:right w:val="single" w:color="auto" w:sz="4" w:space="0"/>
            </w:tcBorders>
            <w:noWrap w:val="0"/>
            <w:vAlign w:val="center"/>
          </w:tcPr>
          <w:p w14:paraId="239FA261">
            <w:pPr>
              <w:adjustRightInd w:val="0"/>
              <w:snapToGrid w:val="0"/>
              <w:spacing w:line="240" w:lineRule="auto"/>
              <w:ind w:firstLine="0" w:firstLineChars="0"/>
              <w:jc w:val="center"/>
              <w:rPr>
                <w:rFonts w:ascii="宋体" w:hAnsi="宋体" w:eastAsia="宋体"/>
                <w:snapToGrid/>
                <w:color w:val="auto"/>
                <w:kern w:val="2"/>
                <w:sz w:val="21"/>
                <w:szCs w:val="21"/>
              </w:rPr>
            </w:pPr>
            <w:r>
              <w:rPr>
                <w:rFonts w:hint="eastAsia" w:ascii="宋体" w:hAnsi="宋体" w:eastAsia="宋体"/>
                <w:snapToGrid/>
                <w:color w:val="auto"/>
                <w:kern w:val="2"/>
                <w:sz w:val="21"/>
                <w:szCs w:val="21"/>
                <w:lang w:eastAsia="zh-CN"/>
              </w:rPr>
              <w:t>符合</w:t>
            </w:r>
          </w:p>
        </w:tc>
      </w:tr>
      <w:tr w14:paraId="004475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0" w:type="auto"/>
            <w:tcBorders>
              <w:left w:val="single" w:color="auto" w:sz="4" w:space="0"/>
            </w:tcBorders>
            <w:noWrap w:val="0"/>
            <w:vAlign w:val="center"/>
          </w:tcPr>
          <w:p w14:paraId="2FD614BC">
            <w:pPr>
              <w:adjustRightInd w:val="0"/>
              <w:snapToGrid w:val="0"/>
              <w:spacing w:line="240" w:lineRule="auto"/>
              <w:ind w:firstLine="0" w:firstLineChars="0"/>
              <w:jc w:val="center"/>
              <w:rPr>
                <w:rFonts w:hint="eastAsia" w:ascii="宋体" w:hAnsi="宋体" w:eastAsia="宋体"/>
                <w:snapToGrid/>
                <w:color w:val="auto"/>
                <w:kern w:val="2"/>
                <w:sz w:val="21"/>
                <w:szCs w:val="21"/>
              </w:rPr>
            </w:pPr>
            <w:r>
              <w:rPr>
                <w:rFonts w:hint="eastAsia" w:ascii="宋体" w:hAnsi="宋体" w:eastAsia="宋体"/>
                <w:snapToGrid/>
                <w:color w:val="auto"/>
                <w:kern w:val="2"/>
                <w:sz w:val="21"/>
                <w:szCs w:val="21"/>
              </w:rPr>
              <w:t>4</w:t>
            </w:r>
          </w:p>
        </w:tc>
        <w:tc>
          <w:tcPr>
            <w:tcW w:w="0" w:type="auto"/>
            <w:tcBorders>
              <w:right w:val="single" w:color="auto" w:sz="4" w:space="0"/>
            </w:tcBorders>
            <w:noWrap w:val="0"/>
            <w:vAlign w:val="center"/>
          </w:tcPr>
          <w:p w14:paraId="0BB0D469">
            <w:pPr>
              <w:adjustRightInd w:val="0"/>
              <w:snapToGrid w:val="0"/>
              <w:spacing w:line="240" w:lineRule="auto"/>
              <w:ind w:firstLine="0" w:firstLineChars="0"/>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停用时间超过</w:t>
            </w:r>
            <w:r>
              <w:rPr>
                <w:rFonts w:hint="eastAsia" w:ascii="Calibri" w:hAnsi="Calibri" w:eastAsia="宋体"/>
                <w:snapToGrid/>
                <w:color w:val="auto"/>
                <w:kern w:val="2"/>
                <w:sz w:val="21"/>
                <w:szCs w:val="21"/>
                <w:lang w:val="en-US" w:eastAsia="zh-CN"/>
              </w:rPr>
              <w:t>3</w:t>
            </w:r>
            <w:r>
              <w:rPr>
                <w:rFonts w:hint="eastAsia" w:ascii="Calibri" w:hAnsi="Calibri" w:eastAsia="宋体"/>
                <w:snapToGrid/>
                <w:color w:val="auto"/>
                <w:kern w:val="2"/>
                <w:sz w:val="21"/>
                <w:szCs w:val="21"/>
                <w:lang w:eastAsia="zh-CN"/>
              </w:rPr>
              <w:t>年的；</w:t>
            </w:r>
          </w:p>
        </w:tc>
        <w:tc>
          <w:tcPr>
            <w:tcW w:w="1926" w:type="dxa"/>
            <w:vMerge w:val="continue"/>
            <w:tcBorders>
              <w:right w:val="single" w:color="auto" w:sz="4" w:space="0"/>
            </w:tcBorders>
            <w:noWrap w:val="0"/>
            <w:vAlign w:val="center"/>
          </w:tcPr>
          <w:p w14:paraId="4446BB60">
            <w:pPr>
              <w:adjustRightInd w:val="0"/>
              <w:snapToGrid w:val="0"/>
              <w:spacing w:line="240" w:lineRule="auto"/>
              <w:ind w:firstLine="0" w:firstLineChars="0"/>
              <w:rPr>
                <w:rFonts w:ascii="宋体" w:hAnsi="宋体" w:eastAsia="宋体"/>
                <w:snapToGrid/>
                <w:color w:val="auto"/>
                <w:kern w:val="2"/>
                <w:sz w:val="21"/>
                <w:szCs w:val="21"/>
              </w:rPr>
            </w:pPr>
          </w:p>
        </w:tc>
        <w:tc>
          <w:tcPr>
            <w:tcW w:w="3022" w:type="dxa"/>
            <w:tcBorders>
              <w:right w:val="single" w:color="auto" w:sz="4" w:space="0"/>
            </w:tcBorders>
            <w:noWrap w:val="0"/>
            <w:vAlign w:val="center"/>
          </w:tcPr>
          <w:p w14:paraId="1B68A12D">
            <w:pPr>
              <w:adjustRightInd w:val="0"/>
              <w:snapToGrid w:val="0"/>
              <w:spacing w:line="240" w:lineRule="auto"/>
              <w:ind w:firstLine="0" w:firstLineChars="0"/>
              <w:jc w:val="left"/>
              <w:rPr>
                <w:rFonts w:hint="default" w:ascii="宋体" w:hAnsi="宋体" w:eastAsia="宋体"/>
                <w:snapToGrid/>
                <w:color w:val="auto"/>
                <w:kern w:val="2"/>
                <w:sz w:val="21"/>
                <w:szCs w:val="21"/>
                <w:lang w:val="en-US" w:eastAsia="zh-CN"/>
              </w:rPr>
            </w:pPr>
            <w:r>
              <w:rPr>
                <w:rFonts w:hint="eastAsia" w:ascii="宋体" w:hAnsi="宋体" w:eastAsia="宋体"/>
                <w:snapToGrid/>
                <w:color w:val="auto"/>
                <w:kern w:val="2"/>
                <w:sz w:val="21"/>
                <w:szCs w:val="21"/>
                <w:lang w:eastAsia="zh-CN"/>
              </w:rPr>
              <w:t>停用</w:t>
            </w:r>
            <w:r>
              <w:rPr>
                <w:rFonts w:hint="eastAsia" w:ascii="宋体" w:hAnsi="宋体" w:eastAsia="宋体"/>
                <w:snapToGrid/>
                <w:color w:val="auto"/>
                <w:kern w:val="2"/>
                <w:sz w:val="21"/>
                <w:szCs w:val="21"/>
                <w:lang w:val="en-US" w:eastAsia="zh-CN"/>
              </w:rPr>
              <w:t>3年以上</w:t>
            </w:r>
          </w:p>
        </w:tc>
        <w:tc>
          <w:tcPr>
            <w:tcW w:w="654" w:type="dxa"/>
            <w:tcBorders>
              <w:right w:val="single" w:color="auto" w:sz="4" w:space="0"/>
            </w:tcBorders>
            <w:noWrap w:val="0"/>
            <w:vAlign w:val="center"/>
          </w:tcPr>
          <w:p w14:paraId="6EBFE612">
            <w:pPr>
              <w:adjustRightInd w:val="0"/>
              <w:snapToGrid w:val="0"/>
              <w:spacing w:line="240" w:lineRule="auto"/>
              <w:ind w:firstLine="0" w:firstLineChars="0"/>
              <w:jc w:val="center"/>
              <w:rPr>
                <w:rFonts w:hint="eastAsia" w:ascii="宋体" w:hAnsi="宋体" w:eastAsia="宋体"/>
                <w:snapToGrid/>
                <w:color w:val="auto"/>
                <w:kern w:val="2"/>
                <w:sz w:val="21"/>
                <w:szCs w:val="21"/>
              </w:rPr>
            </w:pPr>
            <w:r>
              <w:rPr>
                <w:rFonts w:hint="eastAsia" w:ascii="宋体" w:hAnsi="宋体" w:eastAsia="宋体"/>
                <w:snapToGrid/>
                <w:color w:val="auto"/>
                <w:kern w:val="2"/>
                <w:sz w:val="21"/>
                <w:szCs w:val="21"/>
                <w:lang w:eastAsia="zh-CN"/>
              </w:rPr>
              <w:t>符合</w:t>
            </w:r>
          </w:p>
        </w:tc>
      </w:tr>
      <w:tr w14:paraId="71F055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0" w:type="auto"/>
            <w:tcBorders>
              <w:left w:val="single" w:color="auto" w:sz="4" w:space="0"/>
            </w:tcBorders>
            <w:noWrap w:val="0"/>
            <w:vAlign w:val="center"/>
          </w:tcPr>
          <w:p w14:paraId="5A54F3E9">
            <w:pPr>
              <w:adjustRightInd w:val="0"/>
              <w:snapToGrid w:val="0"/>
              <w:spacing w:line="240" w:lineRule="auto"/>
              <w:ind w:firstLine="0" w:firstLineChars="0"/>
              <w:jc w:val="center"/>
              <w:rPr>
                <w:rFonts w:hint="eastAsia" w:ascii="宋体" w:hAnsi="宋体" w:eastAsia="宋体"/>
                <w:snapToGrid/>
                <w:color w:val="auto"/>
                <w:kern w:val="2"/>
                <w:sz w:val="21"/>
                <w:szCs w:val="21"/>
              </w:rPr>
            </w:pPr>
            <w:r>
              <w:rPr>
                <w:rFonts w:hint="eastAsia" w:ascii="宋体" w:hAnsi="宋体" w:eastAsia="宋体"/>
                <w:snapToGrid/>
                <w:color w:val="auto"/>
                <w:kern w:val="2"/>
                <w:sz w:val="21"/>
                <w:szCs w:val="21"/>
              </w:rPr>
              <w:t>5</w:t>
            </w:r>
          </w:p>
        </w:tc>
        <w:tc>
          <w:tcPr>
            <w:tcW w:w="0" w:type="auto"/>
            <w:tcBorders>
              <w:right w:val="single" w:color="auto" w:sz="4" w:space="0"/>
            </w:tcBorders>
            <w:noWrap w:val="0"/>
            <w:vAlign w:val="center"/>
          </w:tcPr>
          <w:p w14:paraId="2121CF84">
            <w:pPr>
              <w:adjustRightInd w:val="0"/>
              <w:snapToGrid w:val="0"/>
              <w:spacing w:line="240" w:lineRule="auto"/>
              <w:ind w:firstLine="0" w:firstLineChars="0"/>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没有生产经营主体的；</w:t>
            </w:r>
          </w:p>
        </w:tc>
        <w:tc>
          <w:tcPr>
            <w:tcW w:w="1926" w:type="dxa"/>
            <w:vMerge w:val="continue"/>
            <w:tcBorders>
              <w:right w:val="single" w:color="auto" w:sz="4" w:space="0"/>
            </w:tcBorders>
            <w:noWrap w:val="0"/>
            <w:vAlign w:val="center"/>
          </w:tcPr>
          <w:p w14:paraId="34CEC979">
            <w:pPr>
              <w:adjustRightInd w:val="0"/>
              <w:snapToGrid w:val="0"/>
              <w:spacing w:line="240" w:lineRule="auto"/>
              <w:ind w:firstLine="0" w:firstLineChars="0"/>
              <w:rPr>
                <w:rFonts w:ascii="宋体" w:hAnsi="宋体" w:eastAsia="宋体"/>
                <w:snapToGrid/>
                <w:color w:val="auto"/>
                <w:kern w:val="2"/>
                <w:sz w:val="21"/>
                <w:szCs w:val="21"/>
              </w:rPr>
            </w:pPr>
          </w:p>
        </w:tc>
        <w:tc>
          <w:tcPr>
            <w:tcW w:w="3022" w:type="dxa"/>
            <w:tcBorders>
              <w:right w:val="single" w:color="auto" w:sz="4" w:space="0"/>
            </w:tcBorders>
            <w:noWrap w:val="0"/>
            <w:vAlign w:val="center"/>
          </w:tcPr>
          <w:p w14:paraId="77986FF7">
            <w:pPr>
              <w:adjustRightInd w:val="0"/>
              <w:snapToGrid w:val="0"/>
              <w:spacing w:line="240" w:lineRule="auto"/>
              <w:ind w:firstLine="0" w:firstLineChars="0"/>
              <w:jc w:val="left"/>
              <w:rPr>
                <w:rFonts w:hint="eastAsia" w:ascii="宋体" w:hAnsi="宋体" w:eastAsia="宋体"/>
                <w:snapToGrid/>
                <w:color w:val="auto"/>
                <w:kern w:val="2"/>
                <w:sz w:val="21"/>
                <w:szCs w:val="21"/>
                <w:lang w:eastAsia="zh-CN"/>
              </w:rPr>
            </w:pPr>
            <w:r>
              <w:rPr>
                <w:rFonts w:hint="eastAsia" w:ascii="宋体" w:hAnsi="宋体" w:eastAsia="宋体"/>
                <w:snapToGrid/>
                <w:color w:val="auto"/>
                <w:kern w:val="2"/>
                <w:sz w:val="21"/>
                <w:szCs w:val="21"/>
                <w:lang w:eastAsia="zh-CN"/>
              </w:rPr>
              <w:t>有生产经营主体，但公司已停用。</w:t>
            </w:r>
          </w:p>
        </w:tc>
        <w:tc>
          <w:tcPr>
            <w:tcW w:w="654" w:type="dxa"/>
            <w:tcBorders>
              <w:right w:val="single" w:color="auto" w:sz="4" w:space="0"/>
            </w:tcBorders>
            <w:noWrap w:val="0"/>
            <w:vAlign w:val="center"/>
          </w:tcPr>
          <w:p w14:paraId="51D61505">
            <w:pPr>
              <w:adjustRightInd w:val="0"/>
              <w:snapToGrid w:val="0"/>
              <w:spacing w:line="240" w:lineRule="auto"/>
              <w:ind w:firstLine="0" w:firstLineChars="0"/>
              <w:jc w:val="center"/>
              <w:rPr>
                <w:rFonts w:ascii="宋体" w:hAnsi="宋体" w:eastAsia="宋体"/>
                <w:snapToGrid/>
                <w:color w:val="auto"/>
                <w:kern w:val="2"/>
                <w:sz w:val="21"/>
                <w:szCs w:val="21"/>
              </w:rPr>
            </w:pPr>
            <w:r>
              <w:rPr>
                <w:rFonts w:hint="eastAsia" w:ascii="宋体" w:hAnsi="宋体" w:eastAsia="宋体"/>
                <w:snapToGrid/>
                <w:color w:val="auto"/>
                <w:kern w:val="2"/>
                <w:sz w:val="21"/>
                <w:szCs w:val="21"/>
                <w:lang w:eastAsia="zh-CN"/>
              </w:rPr>
              <w:t>符合</w:t>
            </w:r>
          </w:p>
        </w:tc>
      </w:tr>
      <w:tr w14:paraId="163B2D9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0" w:type="auto"/>
            <w:tcBorders>
              <w:left w:val="single" w:color="auto" w:sz="4" w:space="0"/>
            </w:tcBorders>
            <w:noWrap w:val="0"/>
            <w:vAlign w:val="center"/>
          </w:tcPr>
          <w:p w14:paraId="738C963E">
            <w:pPr>
              <w:adjustRightInd w:val="0"/>
              <w:snapToGrid w:val="0"/>
              <w:spacing w:line="240" w:lineRule="auto"/>
              <w:ind w:firstLine="0" w:firstLineChars="0"/>
              <w:jc w:val="center"/>
              <w:rPr>
                <w:rFonts w:hint="eastAsia" w:ascii="宋体" w:hAnsi="宋体" w:eastAsia="宋体"/>
                <w:snapToGrid/>
                <w:color w:val="auto"/>
                <w:kern w:val="2"/>
                <w:sz w:val="21"/>
                <w:szCs w:val="21"/>
              </w:rPr>
            </w:pPr>
            <w:r>
              <w:rPr>
                <w:rFonts w:hint="eastAsia" w:ascii="宋体" w:hAnsi="宋体" w:eastAsia="宋体"/>
                <w:snapToGrid/>
                <w:color w:val="auto"/>
                <w:kern w:val="2"/>
                <w:sz w:val="21"/>
                <w:szCs w:val="21"/>
              </w:rPr>
              <w:t>6</w:t>
            </w:r>
          </w:p>
        </w:tc>
        <w:tc>
          <w:tcPr>
            <w:tcW w:w="0" w:type="auto"/>
            <w:tcBorders>
              <w:right w:val="single" w:color="auto" w:sz="4" w:space="0"/>
            </w:tcBorders>
            <w:noWrap w:val="0"/>
            <w:vAlign w:val="center"/>
          </w:tcPr>
          <w:p w14:paraId="4E768A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废弃库；</w:t>
            </w:r>
          </w:p>
        </w:tc>
        <w:tc>
          <w:tcPr>
            <w:tcW w:w="1926" w:type="dxa"/>
            <w:vMerge w:val="continue"/>
            <w:tcBorders>
              <w:right w:val="single" w:color="auto" w:sz="4" w:space="0"/>
            </w:tcBorders>
            <w:noWrap w:val="0"/>
            <w:vAlign w:val="center"/>
          </w:tcPr>
          <w:p w14:paraId="566B6AE2">
            <w:pPr>
              <w:adjustRightInd w:val="0"/>
              <w:snapToGrid w:val="0"/>
              <w:spacing w:line="240" w:lineRule="auto"/>
              <w:ind w:firstLine="0" w:firstLineChars="0"/>
              <w:rPr>
                <w:rFonts w:ascii="宋体" w:hAnsi="宋体" w:eastAsia="宋体"/>
                <w:snapToGrid/>
                <w:color w:val="auto"/>
                <w:kern w:val="2"/>
                <w:sz w:val="21"/>
                <w:szCs w:val="21"/>
              </w:rPr>
            </w:pPr>
          </w:p>
        </w:tc>
        <w:tc>
          <w:tcPr>
            <w:tcW w:w="3022" w:type="dxa"/>
            <w:tcBorders>
              <w:right w:val="single" w:color="auto" w:sz="4" w:space="0"/>
            </w:tcBorders>
            <w:noWrap w:val="0"/>
            <w:vAlign w:val="center"/>
          </w:tcPr>
          <w:p w14:paraId="49C438E1">
            <w:pPr>
              <w:adjustRightInd w:val="0"/>
              <w:snapToGrid w:val="0"/>
              <w:spacing w:line="240" w:lineRule="auto"/>
              <w:ind w:firstLine="0" w:firstLineChars="0"/>
              <w:jc w:val="left"/>
              <w:rPr>
                <w:rFonts w:hint="eastAsia" w:ascii="宋体" w:hAnsi="宋体" w:eastAsia="宋体"/>
                <w:snapToGrid/>
                <w:color w:val="auto"/>
                <w:kern w:val="2"/>
                <w:sz w:val="21"/>
                <w:szCs w:val="21"/>
                <w:lang w:eastAsia="zh-CN"/>
              </w:rPr>
            </w:pPr>
            <w:r>
              <w:rPr>
                <w:rFonts w:hint="eastAsia" w:ascii="宋体" w:hAnsi="宋体" w:eastAsia="宋体"/>
                <w:snapToGrid/>
                <w:color w:val="auto"/>
                <w:kern w:val="2"/>
                <w:sz w:val="21"/>
                <w:szCs w:val="21"/>
                <w:lang w:eastAsia="zh-CN"/>
              </w:rPr>
              <w:t>不再继续使用</w:t>
            </w:r>
          </w:p>
        </w:tc>
        <w:tc>
          <w:tcPr>
            <w:tcW w:w="654" w:type="dxa"/>
            <w:tcBorders>
              <w:right w:val="single" w:color="auto" w:sz="4" w:space="0"/>
            </w:tcBorders>
            <w:noWrap w:val="0"/>
            <w:vAlign w:val="center"/>
          </w:tcPr>
          <w:p w14:paraId="24F6AC02">
            <w:pPr>
              <w:adjustRightInd w:val="0"/>
              <w:snapToGrid w:val="0"/>
              <w:spacing w:line="240" w:lineRule="auto"/>
              <w:ind w:firstLine="0" w:firstLineChars="0"/>
              <w:jc w:val="center"/>
              <w:rPr>
                <w:rFonts w:ascii="宋体" w:hAnsi="宋体" w:eastAsia="宋体"/>
                <w:snapToGrid/>
                <w:color w:val="auto"/>
                <w:kern w:val="2"/>
                <w:sz w:val="21"/>
                <w:szCs w:val="21"/>
              </w:rPr>
            </w:pPr>
            <w:r>
              <w:rPr>
                <w:rFonts w:hint="eastAsia" w:ascii="宋体" w:hAnsi="宋体" w:eastAsia="宋体"/>
                <w:snapToGrid/>
                <w:color w:val="auto"/>
                <w:kern w:val="2"/>
                <w:sz w:val="21"/>
                <w:szCs w:val="21"/>
                <w:lang w:eastAsia="zh-CN"/>
              </w:rPr>
              <w:t>符合</w:t>
            </w:r>
          </w:p>
        </w:tc>
      </w:tr>
      <w:tr w14:paraId="224CF9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0" w:type="auto"/>
            <w:tcBorders>
              <w:left w:val="single" w:color="auto" w:sz="4" w:space="0"/>
            </w:tcBorders>
            <w:noWrap w:val="0"/>
            <w:vAlign w:val="center"/>
          </w:tcPr>
          <w:p w14:paraId="3ECDB9B6">
            <w:pPr>
              <w:adjustRightInd w:val="0"/>
              <w:snapToGrid w:val="0"/>
              <w:spacing w:line="240" w:lineRule="auto"/>
              <w:ind w:firstLine="0" w:firstLineChars="0"/>
              <w:jc w:val="center"/>
              <w:rPr>
                <w:rFonts w:hint="eastAsia" w:ascii="宋体" w:hAnsi="宋体" w:eastAsia="宋体"/>
                <w:snapToGrid/>
                <w:color w:val="auto"/>
                <w:kern w:val="2"/>
                <w:sz w:val="21"/>
                <w:szCs w:val="21"/>
              </w:rPr>
            </w:pPr>
            <w:r>
              <w:rPr>
                <w:rFonts w:hint="eastAsia" w:ascii="宋体" w:hAnsi="宋体" w:eastAsia="宋体"/>
                <w:snapToGrid/>
                <w:color w:val="auto"/>
                <w:kern w:val="2"/>
                <w:sz w:val="21"/>
                <w:szCs w:val="21"/>
              </w:rPr>
              <w:t>7</w:t>
            </w:r>
          </w:p>
        </w:tc>
        <w:tc>
          <w:tcPr>
            <w:tcW w:w="0" w:type="auto"/>
            <w:tcBorders>
              <w:right w:val="single" w:color="auto" w:sz="4" w:space="0"/>
            </w:tcBorders>
            <w:noWrap w:val="0"/>
            <w:vAlign w:val="center"/>
          </w:tcPr>
          <w:p w14:paraId="743EA072">
            <w:pPr>
              <w:adjustRightInd w:val="0"/>
              <w:snapToGrid w:val="0"/>
              <w:spacing w:line="240" w:lineRule="auto"/>
              <w:ind w:firstLine="0" w:firstLineChars="0"/>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库内尾矿（砂）已全部回采清除，且不再堆存尾矿</w:t>
            </w:r>
            <w:r>
              <w:rPr>
                <w:rFonts w:hint="eastAsia" w:ascii="Calibri" w:hAnsi="Calibri"/>
                <w:snapToGrid/>
                <w:color w:val="auto"/>
                <w:kern w:val="2"/>
                <w:sz w:val="21"/>
                <w:szCs w:val="21"/>
                <w:lang w:eastAsia="zh-CN"/>
              </w:rPr>
              <w:t>（</w:t>
            </w:r>
            <w:r>
              <w:rPr>
                <w:rFonts w:hint="eastAsia" w:ascii="Calibri" w:hAnsi="Calibri" w:eastAsia="宋体"/>
                <w:snapToGrid/>
                <w:color w:val="auto"/>
                <w:kern w:val="2"/>
                <w:sz w:val="21"/>
                <w:szCs w:val="21"/>
                <w:lang w:eastAsia="zh-CN"/>
              </w:rPr>
              <w:t>砂</w:t>
            </w:r>
            <w:r>
              <w:rPr>
                <w:rFonts w:hint="eastAsia" w:ascii="Calibri" w:hAnsi="Calibri"/>
                <w:snapToGrid/>
                <w:color w:val="auto"/>
                <w:kern w:val="2"/>
                <w:sz w:val="21"/>
                <w:szCs w:val="21"/>
                <w:lang w:eastAsia="zh-CN"/>
              </w:rPr>
              <w:t>）</w:t>
            </w:r>
            <w:r>
              <w:rPr>
                <w:rFonts w:hint="eastAsia" w:ascii="Calibri" w:hAnsi="Calibri" w:eastAsia="宋体"/>
                <w:snapToGrid/>
                <w:color w:val="auto"/>
                <w:kern w:val="2"/>
                <w:sz w:val="21"/>
                <w:szCs w:val="21"/>
                <w:lang w:eastAsia="zh-CN"/>
              </w:rPr>
              <w:t>的；</w:t>
            </w:r>
          </w:p>
        </w:tc>
        <w:tc>
          <w:tcPr>
            <w:tcW w:w="1926" w:type="dxa"/>
            <w:vMerge w:val="continue"/>
            <w:tcBorders>
              <w:right w:val="single" w:color="auto" w:sz="4" w:space="0"/>
            </w:tcBorders>
            <w:noWrap w:val="0"/>
            <w:vAlign w:val="center"/>
          </w:tcPr>
          <w:p w14:paraId="351CE3A9">
            <w:pPr>
              <w:adjustRightInd w:val="0"/>
              <w:snapToGrid w:val="0"/>
              <w:spacing w:line="240" w:lineRule="auto"/>
              <w:ind w:firstLine="0" w:firstLineChars="0"/>
              <w:rPr>
                <w:rFonts w:ascii="宋体" w:hAnsi="宋体" w:eastAsia="宋体"/>
                <w:snapToGrid/>
                <w:color w:val="auto"/>
                <w:kern w:val="2"/>
                <w:sz w:val="21"/>
                <w:szCs w:val="21"/>
              </w:rPr>
            </w:pPr>
          </w:p>
        </w:tc>
        <w:tc>
          <w:tcPr>
            <w:tcW w:w="3022" w:type="dxa"/>
            <w:tcBorders>
              <w:right w:val="single" w:color="auto" w:sz="4" w:space="0"/>
            </w:tcBorders>
            <w:noWrap w:val="0"/>
            <w:vAlign w:val="center"/>
          </w:tcPr>
          <w:p w14:paraId="2B14874F">
            <w:pPr>
              <w:adjustRightInd w:val="0"/>
              <w:snapToGrid w:val="0"/>
              <w:spacing w:line="240" w:lineRule="auto"/>
              <w:ind w:firstLine="0" w:firstLineChars="0"/>
              <w:jc w:val="left"/>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尾矿（砂）未全部回采清除，不再继续排放尾矿。</w:t>
            </w:r>
          </w:p>
        </w:tc>
        <w:tc>
          <w:tcPr>
            <w:tcW w:w="654" w:type="dxa"/>
            <w:tcBorders>
              <w:right w:val="single" w:color="auto" w:sz="4" w:space="0"/>
            </w:tcBorders>
            <w:noWrap w:val="0"/>
            <w:vAlign w:val="center"/>
          </w:tcPr>
          <w:p w14:paraId="59818CDE">
            <w:pPr>
              <w:adjustRightInd w:val="0"/>
              <w:snapToGrid w:val="0"/>
              <w:spacing w:line="240" w:lineRule="auto"/>
              <w:ind w:firstLine="0" w:firstLineChars="0"/>
              <w:jc w:val="center"/>
              <w:rPr>
                <w:rFonts w:hint="eastAsia" w:ascii="宋体" w:hAnsi="宋体" w:eastAsia="宋体"/>
                <w:snapToGrid/>
                <w:color w:val="auto"/>
                <w:kern w:val="2"/>
                <w:sz w:val="21"/>
                <w:szCs w:val="21"/>
              </w:rPr>
            </w:pPr>
            <w:r>
              <w:rPr>
                <w:rFonts w:hint="eastAsia" w:ascii="宋体" w:hAnsi="宋体" w:eastAsia="宋体"/>
                <w:snapToGrid/>
                <w:color w:val="auto"/>
                <w:kern w:val="2"/>
                <w:sz w:val="21"/>
                <w:szCs w:val="21"/>
                <w:lang w:eastAsia="zh-CN"/>
              </w:rPr>
              <w:t>不符合</w:t>
            </w:r>
          </w:p>
        </w:tc>
      </w:tr>
      <w:tr w14:paraId="05F7FB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0" w:type="auto"/>
            <w:tcBorders>
              <w:left w:val="single" w:color="auto" w:sz="4" w:space="0"/>
            </w:tcBorders>
            <w:noWrap w:val="0"/>
            <w:vAlign w:val="center"/>
          </w:tcPr>
          <w:p w14:paraId="45AEB6A6">
            <w:pPr>
              <w:adjustRightInd w:val="0"/>
              <w:snapToGrid w:val="0"/>
              <w:spacing w:line="240" w:lineRule="auto"/>
              <w:ind w:firstLine="0" w:firstLineChars="0"/>
              <w:jc w:val="center"/>
              <w:rPr>
                <w:rFonts w:hint="eastAsia" w:ascii="宋体" w:hAnsi="宋体" w:eastAsia="宋体"/>
                <w:snapToGrid/>
                <w:color w:val="auto"/>
                <w:kern w:val="2"/>
                <w:sz w:val="21"/>
                <w:szCs w:val="21"/>
                <w:lang w:val="en-US" w:eastAsia="zh-CN"/>
              </w:rPr>
            </w:pPr>
            <w:r>
              <w:rPr>
                <w:rFonts w:hint="eastAsia" w:ascii="宋体" w:hAnsi="宋体" w:eastAsia="宋体"/>
                <w:snapToGrid/>
                <w:color w:val="auto"/>
                <w:kern w:val="2"/>
                <w:sz w:val="21"/>
                <w:szCs w:val="21"/>
                <w:lang w:val="en-US" w:eastAsia="zh-CN"/>
              </w:rPr>
              <w:t>8</w:t>
            </w:r>
          </w:p>
        </w:tc>
        <w:tc>
          <w:tcPr>
            <w:tcW w:w="0" w:type="auto"/>
            <w:tcBorders>
              <w:right w:val="single" w:color="auto" w:sz="4" w:space="0"/>
            </w:tcBorders>
            <w:noWrap w:val="0"/>
            <w:vAlign w:val="center"/>
          </w:tcPr>
          <w:p w14:paraId="563D86D6">
            <w:pPr>
              <w:adjustRightInd w:val="0"/>
              <w:snapToGrid w:val="0"/>
              <w:spacing w:line="240" w:lineRule="auto"/>
              <w:ind w:firstLine="0" w:firstLineChars="0"/>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尾矿库已被开发改作他用不复存在的；</w:t>
            </w:r>
          </w:p>
        </w:tc>
        <w:tc>
          <w:tcPr>
            <w:tcW w:w="1926" w:type="dxa"/>
            <w:vMerge w:val="continue"/>
            <w:tcBorders>
              <w:right w:val="single" w:color="auto" w:sz="4" w:space="0"/>
            </w:tcBorders>
            <w:noWrap w:val="0"/>
            <w:vAlign w:val="center"/>
          </w:tcPr>
          <w:p w14:paraId="5C9472B7">
            <w:pPr>
              <w:adjustRightInd w:val="0"/>
              <w:snapToGrid w:val="0"/>
              <w:spacing w:line="240" w:lineRule="auto"/>
              <w:ind w:firstLine="0" w:firstLineChars="0"/>
              <w:rPr>
                <w:rFonts w:ascii="宋体" w:hAnsi="宋体" w:eastAsia="宋体"/>
                <w:snapToGrid/>
                <w:color w:val="auto"/>
                <w:kern w:val="2"/>
                <w:sz w:val="21"/>
                <w:szCs w:val="21"/>
              </w:rPr>
            </w:pPr>
          </w:p>
        </w:tc>
        <w:tc>
          <w:tcPr>
            <w:tcW w:w="3022" w:type="dxa"/>
            <w:tcBorders>
              <w:right w:val="single" w:color="auto" w:sz="4" w:space="0"/>
            </w:tcBorders>
            <w:noWrap w:val="0"/>
            <w:vAlign w:val="center"/>
          </w:tcPr>
          <w:p w14:paraId="37210B0A">
            <w:pPr>
              <w:adjustRightInd w:val="0"/>
              <w:snapToGrid w:val="0"/>
              <w:spacing w:line="240" w:lineRule="auto"/>
              <w:ind w:firstLine="0" w:firstLineChars="0"/>
              <w:jc w:val="left"/>
              <w:rPr>
                <w:rFonts w:hint="default" w:ascii="宋体" w:hAnsi="宋体" w:eastAsia="宋体"/>
                <w:snapToGrid/>
                <w:color w:val="auto"/>
                <w:kern w:val="2"/>
                <w:sz w:val="21"/>
                <w:szCs w:val="21"/>
                <w:lang w:val="en-US" w:eastAsia="zh-CN"/>
              </w:rPr>
            </w:pPr>
            <w:r>
              <w:rPr>
                <w:rFonts w:hint="eastAsia" w:ascii="宋体" w:hAnsi="宋体" w:eastAsia="宋体"/>
                <w:snapToGrid/>
                <w:color w:val="auto"/>
                <w:kern w:val="2"/>
                <w:sz w:val="21"/>
                <w:szCs w:val="21"/>
                <w:lang w:eastAsia="zh-CN"/>
              </w:rPr>
              <w:t>不涉及</w:t>
            </w:r>
          </w:p>
        </w:tc>
        <w:tc>
          <w:tcPr>
            <w:tcW w:w="654" w:type="dxa"/>
            <w:tcBorders>
              <w:right w:val="single" w:color="auto" w:sz="4" w:space="0"/>
            </w:tcBorders>
            <w:noWrap w:val="0"/>
            <w:vAlign w:val="center"/>
          </w:tcPr>
          <w:p w14:paraId="0D6E974A">
            <w:pPr>
              <w:adjustRightInd w:val="0"/>
              <w:snapToGrid w:val="0"/>
              <w:spacing w:line="240" w:lineRule="auto"/>
              <w:ind w:firstLine="0" w:firstLineChars="0"/>
              <w:jc w:val="center"/>
              <w:rPr>
                <w:rFonts w:hint="eastAsia" w:ascii="宋体" w:hAnsi="宋体" w:eastAsia="宋体"/>
                <w:snapToGrid w:val="0"/>
                <w:color w:val="auto"/>
                <w:kern w:val="2"/>
                <w:sz w:val="21"/>
                <w:szCs w:val="21"/>
                <w:lang w:val="en-US" w:eastAsia="zh-CN" w:bidi="ar-SA"/>
              </w:rPr>
            </w:pPr>
            <w:r>
              <w:rPr>
                <w:rFonts w:hint="eastAsia" w:ascii="宋体" w:hAnsi="宋体" w:eastAsia="宋体"/>
                <w:snapToGrid/>
                <w:color w:val="auto"/>
                <w:kern w:val="2"/>
                <w:sz w:val="21"/>
                <w:szCs w:val="21"/>
                <w:lang w:eastAsia="zh-CN"/>
              </w:rPr>
              <w:t>不符合</w:t>
            </w:r>
          </w:p>
        </w:tc>
      </w:tr>
      <w:tr w14:paraId="1383BD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0" w:type="auto"/>
            <w:tcBorders>
              <w:left w:val="single" w:color="auto" w:sz="4" w:space="0"/>
            </w:tcBorders>
            <w:noWrap w:val="0"/>
            <w:vAlign w:val="center"/>
          </w:tcPr>
          <w:p w14:paraId="5D716EB7">
            <w:pPr>
              <w:adjustRightInd w:val="0"/>
              <w:snapToGrid w:val="0"/>
              <w:spacing w:line="240" w:lineRule="auto"/>
              <w:ind w:firstLine="0" w:firstLineChars="0"/>
              <w:jc w:val="center"/>
              <w:rPr>
                <w:rFonts w:hint="eastAsia" w:ascii="宋体" w:hAnsi="宋体" w:eastAsia="宋体"/>
                <w:snapToGrid/>
                <w:color w:val="auto"/>
                <w:kern w:val="2"/>
                <w:sz w:val="21"/>
                <w:szCs w:val="21"/>
                <w:lang w:val="en-US" w:eastAsia="zh-CN"/>
              </w:rPr>
            </w:pPr>
            <w:r>
              <w:rPr>
                <w:rFonts w:hint="eastAsia" w:ascii="宋体" w:hAnsi="宋体" w:eastAsia="宋体"/>
                <w:snapToGrid/>
                <w:color w:val="auto"/>
                <w:kern w:val="2"/>
                <w:sz w:val="21"/>
                <w:szCs w:val="21"/>
                <w:lang w:val="en-US" w:eastAsia="zh-CN"/>
              </w:rPr>
              <w:t>9</w:t>
            </w:r>
          </w:p>
        </w:tc>
        <w:tc>
          <w:tcPr>
            <w:tcW w:w="0" w:type="auto"/>
            <w:tcBorders>
              <w:right w:val="single" w:color="auto" w:sz="4" w:space="0"/>
            </w:tcBorders>
            <w:noWrap w:val="0"/>
            <w:vAlign w:val="center"/>
          </w:tcPr>
          <w:p w14:paraId="72D9DC09">
            <w:pPr>
              <w:adjustRightInd w:val="0"/>
              <w:snapToGrid w:val="0"/>
              <w:spacing w:line="240" w:lineRule="auto"/>
              <w:ind w:firstLine="0" w:firstLineChars="0"/>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库区已经复垦，不存在安全风险的；</w:t>
            </w:r>
          </w:p>
        </w:tc>
        <w:tc>
          <w:tcPr>
            <w:tcW w:w="1926" w:type="dxa"/>
            <w:vMerge w:val="continue"/>
            <w:tcBorders>
              <w:right w:val="single" w:color="auto" w:sz="4" w:space="0"/>
            </w:tcBorders>
            <w:noWrap w:val="0"/>
            <w:vAlign w:val="center"/>
          </w:tcPr>
          <w:p w14:paraId="624C5090">
            <w:pPr>
              <w:adjustRightInd w:val="0"/>
              <w:snapToGrid w:val="0"/>
              <w:spacing w:line="240" w:lineRule="auto"/>
              <w:ind w:firstLine="0" w:firstLineChars="0"/>
              <w:rPr>
                <w:rFonts w:ascii="宋体" w:hAnsi="宋体" w:eastAsia="宋体"/>
                <w:snapToGrid/>
                <w:color w:val="auto"/>
                <w:kern w:val="2"/>
                <w:sz w:val="21"/>
                <w:szCs w:val="21"/>
              </w:rPr>
            </w:pPr>
          </w:p>
        </w:tc>
        <w:tc>
          <w:tcPr>
            <w:tcW w:w="3022" w:type="dxa"/>
            <w:tcBorders>
              <w:right w:val="single" w:color="auto" w:sz="4" w:space="0"/>
            </w:tcBorders>
            <w:noWrap w:val="0"/>
            <w:vAlign w:val="center"/>
          </w:tcPr>
          <w:p w14:paraId="26137876">
            <w:pPr>
              <w:adjustRightInd w:val="0"/>
              <w:snapToGrid w:val="0"/>
              <w:spacing w:line="240" w:lineRule="auto"/>
              <w:ind w:firstLine="0" w:firstLineChars="0"/>
              <w:jc w:val="left"/>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库区经治理后大部分复垦，不存在安全风险。</w:t>
            </w:r>
          </w:p>
        </w:tc>
        <w:tc>
          <w:tcPr>
            <w:tcW w:w="654" w:type="dxa"/>
            <w:tcBorders>
              <w:right w:val="single" w:color="auto" w:sz="4" w:space="0"/>
            </w:tcBorders>
            <w:noWrap w:val="0"/>
            <w:vAlign w:val="center"/>
          </w:tcPr>
          <w:p w14:paraId="42865D6F">
            <w:pPr>
              <w:adjustRightInd w:val="0"/>
              <w:snapToGrid w:val="0"/>
              <w:spacing w:line="240" w:lineRule="auto"/>
              <w:ind w:firstLine="0" w:firstLineChars="0"/>
              <w:jc w:val="center"/>
              <w:rPr>
                <w:rFonts w:hint="eastAsia" w:ascii="宋体" w:hAnsi="宋体" w:eastAsia="宋体"/>
                <w:snapToGrid w:val="0"/>
                <w:color w:val="auto"/>
                <w:kern w:val="2"/>
                <w:sz w:val="21"/>
                <w:szCs w:val="21"/>
                <w:lang w:val="en-US" w:eastAsia="zh-CN" w:bidi="ar-SA"/>
              </w:rPr>
            </w:pPr>
            <w:r>
              <w:rPr>
                <w:rFonts w:hint="eastAsia" w:ascii="宋体" w:hAnsi="宋体" w:eastAsia="宋体"/>
                <w:snapToGrid/>
                <w:color w:val="auto"/>
                <w:kern w:val="2"/>
                <w:sz w:val="21"/>
                <w:szCs w:val="21"/>
                <w:lang w:eastAsia="zh-CN"/>
              </w:rPr>
              <w:t>符合</w:t>
            </w:r>
          </w:p>
        </w:tc>
      </w:tr>
      <w:tr w14:paraId="2D0776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0" w:type="auto"/>
            <w:tcBorders>
              <w:left w:val="single" w:color="auto" w:sz="4" w:space="0"/>
            </w:tcBorders>
            <w:noWrap w:val="0"/>
            <w:vAlign w:val="center"/>
          </w:tcPr>
          <w:p w14:paraId="1DEF3ADB">
            <w:pPr>
              <w:adjustRightInd w:val="0"/>
              <w:snapToGrid w:val="0"/>
              <w:spacing w:line="240" w:lineRule="auto"/>
              <w:ind w:firstLine="0" w:firstLineChars="0"/>
              <w:jc w:val="center"/>
              <w:rPr>
                <w:rFonts w:hint="default" w:ascii="宋体" w:hAnsi="宋体" w:eastAsia="宋体"/>
                <w:snapToGrid/>
                <w:color w:val="auto"/>
                <w:kern w:val="2"/>
                <w:sz w:val="21"/>
                <w:szCs w:val="21"/>
                <w:lang w:val="en-US" w:eastAsia="zh-CN"/>
              </w:rPr>
            </w:pPr>
            <w:r>
              <w:rPr>
                <w:rFonts w:hint="eastAsia" w:ascii="宋体" w:hAnsi="宋体" w:eastAsia="宋体"/>
                <w:snapToGrid/>
                <w:color w:val="auto"/>
                <w:kern w:val="2"/>
                <w:sz w:val="21"/>
                <w:szCs w:val="21"/>
                <w:lang w:val="en-US" w:eastAsia="zh-CN"/>
              </w:rPr>
              <w:t>10</w:t>
            </w:r>
          </w:p>
        </w:tc>
        <w:tc>
          <w:tcPr>
            <w:tcW w:w="0" w:type="auto"/>
            <w:tcBorders>
              <w:right w:val="single" w:color="auto" w:sz="4" w:space="0"/>
            </w:tcBorders>
            <w:noWrap w:val="0"/>
            <w:vAlign w:val="center"/>
          </w:tcPr>
          <w:p w14:paraId="72F8438E">
            <w:pPr>
              <w:adjustRightInd w:val="0"/>
              <w:snapToGrid w:val="0"/>
              <w:spacing w:line="240" w:lineRule="auto"/>
              <w:ind w:firstLine="0" w:firstLineChars="0"/>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坝体与库区已基本融入周边自然地形地貌，不会对周边安全、环境造成</w:t>
            </w:r>
            <w:r>
              <w:rPr>
                <w:rFonts w:hint="eastAsia" w:ascii="Calibri" w:hAnsi="Calibri"/>
                <w:snapToGrid/>
                <w:color w:val="auto"/>
                <w:kern w:val="2"/>
                <w:sz w:val="21"/>
                <w:szCs w:val="21"/>
                <w:lang w:val="en-US" w:eastAsia="zh-CN"/>
              </w:rPr>
              <w:t>影</w:t>
            </w:r>
            <w:r>
              <w:rPr>
                <w:rFonts w:hint="eastAsia" w:ascii="Calibri" w:hAnsi="Calibri" w:eastAsia="宋体"/>
                <w:snapToGrid/>
                <w:color w:val="auto"/>
                <w:kern w:val="2"/>
                <w:sz w:val="21"/>
                <w:szCs w:val="21"/>
                <w:lang w:eastAsia="zh-CN"/>
              </w:rPr>
              <w:t>响的。</w:t>
            </w:r>
          </w:p>
        </w:tc>
        <w:tc>
          <w:tcPr>
            <w:tcW w:w="1926" w:type="dxa"/>
            <w:vMerge w:val="continue"/>
            <w:tcBorders>
              <w:right w:val="single" w:color="auto" w:sz="4" w:space="0"/>
            </w:tcBorders>
            <w:noWrap w:val="0"/>
            <w:vAlign w:val="center"/>
          </w:tcPr>
          <w:p w14:paraId="27C35BF8">
            <w:pPr>
              <w:adjustRightInd w:val="0"/>
              <w:snapToGrid w:val="0"/>
              <w:spacing w:line="240" w:lineRule="auto"/>
              <w:ind w:firstLine="0" w:firstLineChars="0"/>
              <w:rPr>
                <w:rFonts w:ascii="宋体" w:hAnsi="宋体" w:eastAsia="宋体"/>
                <w:snapToGrid/>
                <w:color w:val="auto"/>
                <w:kern w:val="2"/>
                <w:sz w:val="21"/>
                <w:szCs w:val="21"/>
              </w:rPr>
            </w:pPr>
          </w:p>
        </w:tc>
        <w:tc>
          <w:tcPr>
            <w:tcW w:w="3022" w:type="dxa"/>
            <w:tcBorders>
              <w:right w:val="single" w:color="auto" w:sz="4" w:space="0"/>
            </w:tcBorders>
            <w:noWrap w:val="0"/>
            <w:vAlign w:val="center"/>
          </w:tcPr>
          <w:p w14:paraId="4F74CFCF">
            <w:pPr>
              <w:adjustRightInd w:val="0"/>
              <w:snapToGrid w:val="0"/>
              <w:spacing w:line="240" w:lineRule="auto"/>
              <w:ind w:firstLine="0" w:firstLineChars="0"/>
              <w:jc w:val="left"/>
              <w:rPr>
                <w:rFonts w:ascii="宋体" w:hAnsi="宋体" w:eastAsia="宋体"/>
                <w:snapToGrid/>
                <w:color w:val="auto"/>
                <w:kern w:val="2"/>
                <w:sz w:val="21"/>
                <w:szCs w:val="21"/>
              </w:rPr>
            </w:pPr>
            <w:r>
              <w:rPr>
                <w:rFonts w:hint="eastAsia" w:ascii="Calibri" w:hAnsi="Calibri" w:eastAsia="宋体"/>
                <w:snapToGrid/>
                <w:color w:val="auto"/>
                <w:kern w:val="2"/>
                <w:sz w:val="21"/>
                <w:szCs w:val="21"/>
                <w:lang w:eastAsia="zh-CN"/>
              </w:rPr>
              <w:t>库区坝体两岸与外坝已基本融入周边自然地形地貌，不会对周边安全、环境造成影响的。</w:t>
            </w:r>
          </w:p>
        </w:tc>
        <w:tc>
          <w:tcPr>
            <w:tcW w:w="654" w:type="dxa"/>
            <w:tcBorders>
              <w:right w:val="single" w:color="auto" w:sz="4" w:space="0"/>
            </w:tcBorders>
            <w:noWrap w:val="0"/>
            <w:vAlign w:val="center"/>
          </w:tcPr>
          <w:p w14:paraId="4B3315C0">
            <w:pPr>
              <w:adjustRightInd w:val="0"/>
              <w:snapToGrid w:val="0"/>
              <w:spacing w:line="240" w:lineRule="auto"/>
              <w:ind w:firstLine="0" w:firstLineChars="0"/>
              <w:jc w:val="center"/>
              <w:rPr>
                <w:rFonts w:ascii="宋体" w:hAnsi="宋体" w:eastAsia="宋体"/>
                <w:snapToGrid/>
                <w:color w:val="auto"/>
                <w:kern w:val="2"/>
                <w:sz w:val="21"/>
                <w:szCs w:val="21"/>
              </w:rPr>
            </w:pPr>
            <w:r>
              <w:rPr>
                <w:rFonts w:hint="eastAsia" w:ascii="宋体" w:hAnsi="宋体" w:eastAsia="宋体"/>
                <w:snapToGrid/>
                <w:color w:val="auto"/>
                <w:kern w:val="2"/>
                <w:sz w:val="21"/>
                <w:szCs w:val="21"/>
                <w:lang w:eastAsia="zh-CN"/>
              </w:rPr>
              <w:t>符合</w:t>
            </w:r>
          </w:p>
        </w:tc>
      </w:tr>
    </w:tbl>
    <w:p w14:paraId="1C0B3E40">
      <w:pPr>
        <w:widowControl w:val="0"/>
        <w:adjustRightInd w:val="0"/>
        <w:snapToGrid w:val="0"/>
        <w:spacing w:line="500" w:lineRule="exact"/>
        <w:ind w:left="199" w:leftChars="71" w:firstLine="420" w:firstLineChars="15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1、根据《云南省尾矿库闭库销号管理办法（试行）》云应急[2021]20号第六条规定分析评价，其中1、2、3、4、5、6、9、10条都符合闭库规定，应当及时完善闭库手续。</w:t>
      </w:r>
    </w:p>
    <w:p w14:paraId="188996FA">
      <w:pPr>
        <w:widowControl w:val="0"/>
        <w:adjustRightInd w:val="0"/>
        <w:snapToGrid w:val="0"/>
        <w:spacing w:line="500" w:lineRule="exact"/>
        <w:ind w:left="199" w:leftChars="71" w:firstLine="420" w:firstLineChars="150"/>
        <w:jc w:val="both"/>
        <w:rPr>
          <w:rFonts w:hint="default"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2、必须严格按《尾矿库安全规程》(GB39496-2020</w:t>
      </w:r>
      <w:r>
        <w:rPr>
          <w:rFonts w:hint="eastAsia" w:ascii="宋体" w:hAnsi="宋体" w:cs="宋体"/>
          <w:color w:val="auto"/>
          <w:kern w:val="2"/>
          <w:sz w:val="28"/>
          <w:szCs w:val="28"/>
          <w:lang w:val="en-US" w:eastAsia="zh-CN" w:bidi="ar-SA"/>
        </w:rPr>
        <w:t>)</w:t>
      </w:r>
      <w:r>
        <w:rPr>
          <w:rFonts w:hint="eastAsia" w:ascii="宋体" w:hAnsi="宋体" w:eastAsia="宋体" w:cs="宋体"/>
          <w:color w:val="auto"/>
          <w:kern w:val="2"/>
          <w:sz w:val="28"/>
          <w:szCs w:val="28"/>
          <w:lang w:val="en-US" w:eastAsia="zh-CN" w:bidi="ar-SA"/>
        </w:rPr>
        <w:t>对闭库进行安全论证，对存在的问题和隐患进行整改后申请闭库验收。</w:t>
      </w:r>
    </w:p>
    <w:p w14:paraId="00768CB3">
      <w:pPr>
        <w:pStyle w:val="4"/>
        <w:outlineLvl w:val="1"/>
        <w:rPr>
          <w:rFonts w:cs="Times New Roman"/>
          <w:color w:val="auto"/>
        </w:rPr>
      </w:pPr>
      <w:bookmarkStart w:id="560" w:name="_Toc21626"/>
      <w:bookmarkStart w:id="561" w:name="_Toc105057996"/>
      <w:bookmarkStart w:id="562" w:name="_Toc100570465"/>
      <w:bookmarkStart w:id="563" w:name="_Toc2678"/>
      <w:r>
        <w:rPr>
          <w:rFonts w:cs="Times New Roman"/>
          <w:color w:val="auto"/>
        </w:rPr>
        <w:t>验收结论</w:t>
      </w:r>
      <w:bookmarkEnd w:id="560"/>
      <w:bookmarkEnd w:id="561"/>
      <w:bookmarkEnd w:id="562"/>
      <w:bookmarkEnd w:id="563"/>
    </w:p>
    <w:p w14:paraId="37D0E945">
      <w:pPr>
        <w:bidi w:val="0"/>
        <w:rPr>
          <w:rFonts w:hint="eastAsia"/>
          <w:color w:val="auto"/>
          <w:lang w:val="en-US" w:eastAsia="zh-CN"/>
        </w:rPr>
      </w:pPr>
      <w:r>
        <w:rPr>
          <w:rFonts w:hint="eastAsia"/>
          <w:color w:val="auto"/>
          <w:lang w:val="en-US" w:eastAsia="zh-CN"/>
        </w:rPr>
        <w:t>元谋县大远矿业有限公司红坡铁矿选厂尾矿库闭库工程符合安全设</w:t>
      </w:r>
      <w:r>
        <w:rPr>
          <w:rFonts w:hint="default"/>
          <w:color w:val="auto"/>
          <w:lang w:val="en-US" w:eastAsia="zh-CN"/>
        </w:rPr>
        <w:t>施“三同时”要求，安全设施满足闭库工程安全要求</w:t>
      </w:r>
      <w:r>
        <w:rPr>
          <w:rFonts w:hint="eastAsia"/>
          <w:color w:val="auto"/>
          <w:lang w:val="en-US" w:eastAsia="zh-CN"/>
        </w:rPr>
        <w:t>。经评价认为元谋县大远矿业有限公司红坡铁矿选厂尾矿库闭库工程符合《元谋县大远矿业有限公司红坡铁矿选厂尾矿库闭库工程安全设施设计》的要求。</w:t>
      </w:r>
    </w:p>
    <w:p w14:paraId="798BF3E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color w:val="auto"/>
          <w:lang w:val="en-US" w:eastAsia="zh-CN"/>
        </w:rPr>
      </w:pPr>
      <w:r>
        <w:rPr>
          <w:rFonts w:hint="eastAsia"/>
          <w:color w:val="auto"/>
          <w:lang w:val="en-US" w:eastAsia="zh-CN"/>
        </w:rPr>
        <w:t>根据《国家安全监管总局关于规范金属非金属矿山建设项目安全设施竣工验收工作的通知》（安监总管一（2016）14号）附表《金属非金属矿山尾矿库建设项目安全设施竣工验收表》的验收要求，经检查评价符合要求。</w:t>
      </w:r>
    </w:p>
    <w:p w14:paraId="3D2C52C6">
      <w:pPr>
        <w:bidi w:val="0"/>
        <w:rPr>
          <w:rFonts w:hint="eastAsia"/>
          <w:color w:val="auto"/>
          <w:lang w:val="en-US" w:eastAsia="zh-CN"/>
        </w:rPr>
      </w:pPr>
      <w:r>
        <w:rPr>
          <w:rFonts w:hint="eastAsia"/>
          <w:color w:val="auto"/>
          <w:lang w:val="en-US" w:eastAsia="zh-CN"/>
        </w:rPr>
        <w:t>验收评价结论：</w:t>
      </w:r>
      <w:r>
        <w:rPr>
          <w:rFonts w:hint="eastAsia"/>
          <w:b/>
          <w:bCs/>
          <w:color w:val="auto"/>
          <w:lang w:val="en-US" w:eastAsia="zh-CN"/>
        </w:rPr>
        <w:t>通过对元谋县大远矿业有限公司红坡铁矿选厂尾矿库闭库工程的定性定量分析和评价，元谋县大远矿业有限公司红坡铁矿选厂尾矿库闭库工程符合国家相关法律、法规的要求，具备安全验收条件。</w:t>
      </w:r>
    </w:p>
    <w:p w14:paraId="3FB37058">
      <w:pPr>
        <w:bidi w:val="0"/>
        <w:rPr>
          <w:rFonts w:hint="eastAsia"/>
          <w:color w:val="auto"/>
          <w:lang w:val="en-US" w:eastAsia="zh-CN"/>
        </w:rPr>
      </w:pPr>
      <w:r>
        <w:rPr>
          <w:rFonts w:hint="eastAsia"/>
          <w:color w:val="auto"/>
          <w:lang w:val="en-US" w:eastAsia="zh-CN"/>
        </w:rPr>
        <w:t>安全生产是一个动态的和持续改进的过程，企业应按照本报告提出的对策措施和建议进行整改完善。在今后的生产过程中，应根据安全生产条件的变化和国家法律法规的要求，不断完善安全技术措施和安全管理措施，提升安全技术水平，预防和防止生产安全事故的发生，切实保障人民生命和企业财产的安全。</w:t>
      </w:r>
      <w:bookmarkEnd w:id="551"/>
      <w:bookmarkEnd w:id="552"/>
    </w:p>
    <w:p w14:paraId="03D0A8FE">
      <w:pPr>
        <w:pStyle w:val="3"/>
        <w:outlineLvl w:val="0"/>
        <w:rPr>
          <w:color w:val="auto"/>
        </w:rPr>
      </w:pPr>
      <w:r>
        <w:rPr>
          <w:color w:val="auto"/>
        </w:rPr>
        <w:br w:type="page"/>
      </w:r>
      <w:bookmarkStart w:id="564" w:name="_Toc11289"/>
      <w:bookmarkStart w:id="565" w:name="_Toc4813"/>
      <w:r>
        <w:rPr>
          <w:color w:val="auto"/>
        </w:rPr>
        <w:t>附件</w:t>
      </w:r>
      <w:bookmarkEnd w:id="564"/>
      <w:bookmarkEnd w:id="565"/>
    </w:p>
    <w:p w14:paraId="12D1C035">
      <w:pPr>
        <w:pStyle w:val="4"/>
        <w:bidi w:val="0"/>
        <w:rPr>
          <w:color w:val="auto"/>
        </w:rPr>
      </w:pPr>
      <w:bookmarkStart w:id="566" w:name="_Toc30081"/>
      <w:bookmarkStart w:id="567" w:name="_Toc10440"/>
      <w:r>
        <w:rPr>
          <w:color w:val="auto"/>
        </w:rPr>
        <w:t>生产经营单位概况</w:t>
      </w:r>
      <w:bookmarkEnd w:id="566"/>
      <w:bookmarkEnd w:id="567"/>
    </w:p>
    <w:p w14:paraId="38C0F182">
      <w:pPr>
        <w:numPr>
          <w:ilvl w:val="0"/>
          <w:numId w:val="9"/>
        </w:numPr>
        <w:bidi w:val="0"/>
        <w:rPr>
          <w:color w:val="auto"/>
        </w:rPr>
      </w:pPr>
      <w:r>
        <w:rPr>
          <w:rFonts w:hint="eastAsia"/>
          <w:color w:val="auto"/>
          <w:lang w:val="en-US" w:eastAsia="zh-CN"/>
        </w:rPr>
        <w:t>闭库销号承诺；</w:t>
      </w:r>
    </w:p>
    <w:p w14:paraId="20626C5B">
      <w:pPr>
        <w:numPr>
          <w:ilvl w:val="0"/>
          <w:numId w:val="9"/>
        </w:numPr>
        <w:bidi w:val="0"/>
        <w:rPr>
          <w:color w:val="auto"/>
        </w:rPr>
      </w:pPr>
      <w:r>
        <w:rPr>
          <w:color w:val="auto"/>
        </w:rPr>
        <w:t>企业法人营业执照</w:t>
      </w:r>
      <w:r>
        <w:rPr>
          <w:rFonts w:hint="eastAsia"/>
          <w:color w:val="auto"/>
          <w:lang w:eastAsia="zh-CN"/>
        </w:rPr>
        <w:t>；</w:t>
      </w:r>
    </w:p>
    <w:p w14:paraId="643F4614">
      <w:pPr>
        <w:pStyle w:val="25"/>
        <w:numPr>
          <w:ilvl w:val="0"/>
          <w:numId w:val="9"/>
        </w:numPr>
        <w:rPr>
          <w:color w:val="auto"/>
        </w:rPr>
      </w:pPr>
      <w:r>
        <w:rPr>
          <w:rFonts w:hint="eastAsia"/>
          <w:color w:val="auto"/>
          <w:lang w:val="en-US" w:eastAsia="zh-CN"/>
        </w:rPr>
        <w:t>评价委托书、材料真实性承诺书。</w:t>
      </w:r>
    </w:p>
    <w:p w14:paraId="25E24E5A">
      <w:pPr>
        <w:pStyle w:val="4"/>
        <w:bidi w:val="0"/>
        <w:rPr>
          <w:color w:val="auto"/>
        </w:rPr>
      </w:pPr>
      <w:bookmarkStart w:id="568" w:name="_Toc28327"/>
      <w:bookmarkStart w:id="569" w:name="_Toc26568"/>
      <w:r>
        <w:rPr>
          <w:color w:val="auto"/>
        </w:rPr>
        <w:t>落实安全设施三同时程序文件</w:t>
      </w:r>
      <w:bookmarkEnd w:id="568"/>
      <w:bookmarkEnd w:id="569"/>
    </w:p>
    <w:p w14:paraId="47FDAEC6">
      <w:pPr>
        <w:bidi w:val="0"/>
        <w:rPr>
          <w:rFonts w:hint="eastAsia"/>
          <w:color w:val="auto"/>
          <w:lang w:val="en-US" w:eastAsia="zh-CN"/>
        </w:rPr>
      </w:pPr>
      <w:r>
        <w:rPr>
          <w:rFonts w:hint="eastAsia"/>
          <w:color w:val="auto"/>
          <w:lang w:val="en-US" w:eastAsia="zh-CN"/>
        </w:rPr>
        <w:t>1.安全现状评价报告；</w:t>
      </w:r>
    </w:p>
    <w:p w14:paraId="216DB57C">
      <w:pPr>
        <w:bidi w:val="0"/>
        <w:rPr>
          <w:rFonts w:hint="eastAsia"/>
          <w:color w:val="auto"/>
          <w:lang w:val="en-US" w:eastAsia="zh-CN"/>
        </w:rPr>
      </w:pPr>
      <w:r>
        <w:rPr>
          <w:rFonts w:hint="eastAsia"/>
          <w:color w:val="auto"/>
          <w:lang w:val="en-US" w:eastAsia="zh-CN"/>
        </w:rPr>
        <w:t>2.项目《安全设施设计》评审意见和批复文件。</w:t>
      </w:r>
    </w:p>
    <w:p w14:paraId="18526255">
      <w:pPr>
        <w:pStyle w:val="4"/>
        <w:outlineLvl w:val="1"/>
        <w:rPr>
          <w:rFonts w:cs="Times New Roman"/>
          <w:color w:val="auto"/>
        </w:rPr>
      </w:pPr>
      <w:bookmarkStart w:id="570" w:name="_Toc8738"/>
      <w:bookmarkStart w:id="571" w:name="_Toc3221"/>
      <w:r>
        <w:rPr>
          <w:rFonts w:cs="Times New Roman"/>
          <w:color w:val="auto"/>
        </w:rPr>
        <w:t>项目技术文件</w:t>
      </w:r>
      <w:bookmarkEnd w:id="570"/>
      <w:bookmarkEnd w:id="571"/>
    </w:p>
    <w:p w14:paraId="2BA66C29">
      <w:pPr>
        <w:bidi w:val="0"/>
        <w:rPr>
          <w:rFonts w:hint="eastAsia"/>
          <w:color w:val="auto"/>
          <w:lang w:val="en-US" w:eastAsia="zh-CN"/>
        </w:rPr>
      </w:pPr>
      <w:r>
        <w:rPr>
          <w:rFonts w:hint="eastAsia"/>
          <w:color w:val="auto"/>
          <w:lang w:val="en-US" w:eastAsia="zh-CN"/>
        </w:rPr>
        <w:t>1.岩土工程勘察封面、扉页及资质；</w:t>
      </w:r>
    </w:p>
    <w:p w14:paraId="173291AE">
      <w:pPr>
        <w:bidi w:val="0"/>
        <w:rPr>
          <w:rFonts w:hint="eastAsia"/>
          <w:color w:val="auto"/>
          <w:lang w:val="en-US" w:eastAsia="zh-CN"/>
        </w:rPr>
      </w:pPr>
      <w:r>
        <w:rPr>
          <w:rFonts w:hint="eastAsia"/>
          <w:color w:val="auto"/>
          <w:lang w:val="en-US" w:eastAsia="zh-CN"/>
        </w:rPr>
        <w:t>2.初步设计、安全设施设计封面、扉页及资质；</w:t>
      </w:r>
    </w:p>
    <w:p w14:paraId="17AD6B09">
      <w:pPr>
        <w:bidi w:val="0"/>
        <w:rPr>
          <w:rFonts w:hint="default"/>
          <w:color w:val="auto"/>
          <w:lang w:val="en-US" w:eastAsia="zh-CN"/>
        </w:rPr>
      </w:pPr>
      <w:r>
        <w:rPr>
          <w:rFonts w:hint="eastAsia"/>
          <w:color w:val="auto"/>
          <w:lang w:val="en-US" w:eastAsia="zh-CN"/>
        </w:rPr>
        <w:t>3.施工图封面及扉页。</w:t>
      </w:r>
    </w:p>
    <w:p w14:paraId="690EE3B3">
      <w:pPr>
        <w:pStyle w:val="4"/>
        <w:outlineLvl w:val="1"/>
        <w:rPr>
          <w:rFonts w:cs="Times New Roman"/>
          <w:color w:val="auto"/>
        </w:rPr>
      </w:pPr>
      <w:bookmarkStart w:id="572" w:name="_Toc13813"/>
      <w:bookmarkStart w:id="573" w:name="_Toc25305"/>
      <w:r>
        <w:rPr>
          <w:rFonts w:cs="Times New Roman"/>
          <w:color w:val="auto"/>
        </w:rPr>
        <w:t>项目建设情况</w:t>
      </w:r>
      <w:bookmarkEnd w:id="572"/>
      <w:bookmarkEnd w:id="573"/>
    </w:p>
    <w:p w14:paraId="753EE55F">
      <w:pPr>
        <w:bidi w:val="0"/>
        <w:rPr>
          <w:color w:val="auto"/>
        </w:rPr>
      </w:pPr>
      <w:r>
        <w:rPr>
          <w:color w:val="auto"/>
        </w:rPr>
        <w:t>1.施工单位资质</w:t>
      </w:r>
      <w:r>
        <w:rPr>
          <w:rFonts w:hint="eastAsia"/>
          <w:color w:val="auto"/>
          <w:lang w:eastAsia="zh-CN"/>
        </w:rPr>
        <w:t>、</w:t>
      </w:r>
      <w:r>
        <w:rPr>
          <w:color w:val="auto"/>
        </w:rPr>
        <w:t>施工总结报告；</w:t>
      </w:r>
    </w:p>
    <w:p w14:paraId="14EF10EE">
      <w:pPr>
        <w:bidi w:val="0"/>
        <w:rPr>
          <w:color w:val="auto"/>
        </w:rPr>
      </w:pPr>
      <w:r>
        <w:rPr>
          <w:color w:val="auto"/>
        </w:rPr>
        <w:t>2.监理单位资质</w:t>
      </w:r>
      <w:r>
        <w:rPr>
          <w:rFonts w:hint="eastAsia"/>
          <w:color w:val="auto"/>
          <w:lang w:eastAsia="zh-CN"/>
        </w:rPr>
        <w:t>、</w:t>
      </w:r>
      <w:r>
        <w:rPr>
          <w:color w:val="auto"/>
        </w:rPr>
        <w:t>监理总结报告；</w:t>
      </w:r>
    </w:p>
    <w:p w14:paraId="349D0AB2">
      <w:pPr>
        <w:pStyle w:val="4"/>
        <w:outlineLvl w:val="1"/>
        <w:rPr>
          <w:rFonts w:cs="Times New Roman"/>
          <w:color w:val="auto"/>
        </w:rPr>
      </w:pPr>
      <w:bookmarkStart w:id="574" w:name="_Toc10092"/>
      <w:bookmarkStart w:id="575" w:name="_Toc31471"/>
      <w:r>
        <w:rPr>
          <w:rFonts w:cs="Times New Roman"/>
          <w:color w:val="auto"/>
        </w:rPr>
        <w:t>安全管理资料</w:t>
      </w:r>
      <w:bookmarkEnd w:id="574"/>
      <w:bookmarkEnd w:id="575"/>
    </w:p>
    <w:p w14:paraId="6F99D7B4">
      <w:pPr>
        <w:numPr>
          <w:ilvl w:val="0"/>
          <w:numId w:val="10"/>
        </w:numPr>
        <w:bidi w:val="0"/>
        <w:rPr>
          <w:rFonts w:hint="eastAsia"/>
          <w:color w:val="auto"/>
          <w:lang w:val="en-US" w:eastAsia="zh-CN"/>
        </w:rPr>
      </w:pPr>
      <w:r>
        <w:rPr>
          <w:rFonts w:hint="eastAsia"/>
          <w:color w:val="auto"/>
          <w:lang w:val="en-US" w:eastAsia="zh-CN"/>
        </w:rPr>
        <w:t>持续监测记录；</w:t>
      </w:r>
    </w:p>
    <w:p w14:paraId="36F57A6A">
      <w:pPr>
        <w:pStyle w:val="25"/>
        <w:numPr>
          <w:ilvl w:val="0"/>
          <w:numId w:val="10"/>
        </w:numPr>
        <w:rPr>
          <w:color w:val="auto"/>
        </w:rPr>
      </w:pPr>
      <w:r>
        <w:rPr>
          <w:rFonts w:hint="eastAsia"/>
          <w:color w:val="auto"/>
          <w:lang w:val="en-US" w:eastAsia="zh-CN"/>
        </w:rPr>
        <w:t>评价组现场意见。</w:t>
      </w:r>
      <w:bookmarkStart w:id="576" w:name="_Toc15613"/>
      <w:bookmarkStart w:id="577" w:name="_Toc17442"/>
    </w:p>
    <w:p w14:paraId="42AC7C8A">
      <w:pPr>
        <w:pStyle w:val="3"/>
        <w:outlineLvl w:val="0"/>
        <w:rPr>
          <w:color w:val="auto"/>
        </w:rPr>
      </w:pPr>
      <w:bookmarkStart w:id="578" w:name="_Toc3938"/>
      <w:r>
        <w:rPr>
          <w:color w:val="auto"/>
        </w:rPr>
        <w:t>附图</w:t>
      </w:r>
      <w:bookmarkEnd w:id="576"/>
      <w:bookmarkEnd w:id="577"/>
      <w:bookmarkEnd w:id="578"/>
    </w:p>
    <w:p w14:paraId="496D870F">
      <w:pPr>
        <w:bidi w:val="0"/>
        <w:rPr>
          <w:rFonts w:hint="eastAsia"/>
          <w:color w:val="auto"/>
          <w:lang w:val="en-US" w:eastAsia="zh-CN"/>
        </w:rPr>
      </w:pPr>
      <w:r>
        <w:rPr>
          <w:rFonts w:hint="eastAsia"/>
          <w:color w:val="auto"/>
          <w:lang w:val="en-US" w:eastAsia="zh-CN"/>
        </w:rPr>
        <w:t>1.原现状地形图；</w:t>
      </w:r>
    </w:p>
    <w:p w14:paraId="156ECFF8">
      <w:pPr>
        <w:bidi w:val="0"/>
        <w:rPr>
          <w:rFonts w:hint="eastAsia"/>
          <w:color w:val="auto"/>
          <w:lang w:val="en-US" w:eastAsia="zh-CN"/>
        </w:rPr>
      </w:pPr>
      <w:r>
        <w:rPr>
          <w:rFonts w:hint="eastAsia"/>
          <w:color w:val="auto"/>
          <w:lang w:val="en-US" w:eastAsia="zh-CN"/>
        </w:rPr>
        <w:t>2.设计总平面布置图；</w:t>
      </w:r>
    </w:p>
    <w:p w14:paraId="3D790EB6">
      <w:pPr>
        <w:bidi w:val="0"/>
        <w:rPr>
          <w:color w:val="auto"/>
        </w:rPr>
      </w:pPr>
      <w:r>
        <w:rPr>
          <w:rFonts w:hint="eastAsia"/>
          <w:color w:val="auto"/>
          <w:lang w:val="en-US" w:eastAsia="zh-CN"/>
        </w:rPr>
        <w:t>3.平面布置</w:t>
      </w:r>
      <w:r>
        <w:rPr>
          <w:color w:val="auto"/>
        </w:rPr>
        <w:t>竣工图</w:t>
      </w:r>
      <w:r>
        <w:rPr>
          <w:rFonts w:hint="eastAsia"/>
          <w:color w:val="auto"/>
          <w:lang w:eastAsia="zh-CN"/>
        </w:rPr>
        <w:t>；</w:t>
      </w:r>
    </w:p>
    <w:p w14:paraId="38B98B2B">
      <w:pPr>
        <w:bidi w:val="0"/>
        <w:rPr>
          <w:rFonts w:hint="eastAsia"/>
          <w:color w:val="auto"/>
          <w:lang w:val="en-US" w:eastAsia="zh-CN"/>
        </w:rPr>
      </w:pPr>
      <w:r>
        <w:rPr>
          <w:rFonts w:hint="eastAsia"/>
          <w:color w:val="auto"/>
          <w:lang w:val="en-US" w:eastAsia="zh-CN"/>
        </w:rPr>
        <w:t>4.终了平面布置竣工图；</w:t>
      </w:r>
    </w:p>
    <w:p w14:paraId="3D85D430">
      <w:pPr>
        <w:bidi w:val="0"/>
        <w:rPr>
          <w:rFonts w:hint="eastAsia"/>
          <w:color w:val="auto"/>
          <w:lang w:val="en-US" w:eastAsia="zh-CN"/>
        </w:rPr>
      </w:pPr>
      <w:r>
        <w:rPr>
          <w:rFonts w:hint="eastAsia"/>
          <w:color w:val="auto"/>
          <w:lang w:val="en-US" w:eastAsia="zh-CN"/>
        </w:rPr>
        <w:t>5.监测设施平面布置竣工图；</w:t>
      </w:r>
    </w:p>
    <w:p w14:paraId="02DCE17C">
      <w:pPr>
        <w:bidi w:val="0"/>
        <w:rPr>
          <w:rFonts w:hint="eastAsia"/>
          <w:color w:val="auto"/>
          <w:lang w:val="en-US" w:eastAsia="zh-CN"/>
        </w:rPr>
      </w:pPr>
      <w:r>
        <w:rPr>
          <w:rFonts w:hint="eastAsia"/>
          <w:color w:val="auto"/>
          <w:lang w:val="en-US" w:eastAsia="zh-CN"/>
        </w:rPr>
        <w:t>6.A-A’剖面竣工图；</w:t>
      </w:r>
    </w:p>
    <w:p w14:paraId="333FC76A">
      <w:pPr>
        <w:bidi w:val="0"/>
        <w:rPr>
          <w:rFonts w:hint="eastAsia"/>
          <w:color w:val="auto"/>
          <w:lang w:val="en-US" w:eastAsia="zh-CN"/>
        </w:rPr>
      </w:pPr>
      <w:r>
        <w:rPr>
          <w:rFonts w:hint="eastAsia"/>
          <w:color w:val="auto"/>
          <w:lang w:val="en-US" w:eastAsia="zh-CN"/>
        </w:rPr>
        <w:t>7.左岸截洪沟竣工图；</w:t>
      </w:r>
    </w:p>
    <w:p w14:paraId="510E5571">
      <w:pPr>
        <w:bidi w:val="0"/>
        <w:rPr>
          <w:rFonts w:hint="eastAsia"/>
          <w:color w:val="auto"/>
          <w:lang w:val="en-US" w:eastAsia="zh-CN"/>
        </w:rPr>
      </w:pPr>
      <w:r>
        <w:rPr>
          <w:rFonts w:hint="eastAsia"/>
          <w:color w:val="auto"/>
          <w:lang w:val="en-US" w:eastAsia="zh-CN"/>
        </w:rPr>
        <w:t>8.挡水坝竣工图；</w:t>
      </w:r>
    </w:p>
    <w:p w14:paraId="176EC0AF">
      <w:pPr>
        <w:bidi w:val="0"/>
        <w:rPr>
          <w:rFonts w:hint="eastAsia"/>
          <w:color w:val="auto"/>
          <w:lang w:val="en-US" w:eastAsia="zh-CN"/>
        </w:rPr>
      </w:pPr>
      <w:r>
        <w:rPr>
          <w:rFonts w:hint="eastAsia"/>
          <w:color w:val="auto"/>
          <w:lang w:val="en-US" w:eastAsia="zh-CN"/>
        </w:rPr>
        <w:t>9.排水/雨水沟竣工图；</w:t>
      </w:r>
    </w:p>
    <w:p w14:paraId="62AFB12D">
      <w:pPr>
        <w:bidi w:val="0"/>
        <w:rPr>
          <w:rFonts w:hint="eastAsia"/>
          <w:color w:val="auto"/>
          <w:lang w:val="en-US" w:eastAsia="zh-CN"/>
        </w:rPr>
      </w:pPr>
      <w:r>
        <w:rPr>
          <w:rFonts w:hint="eastAsia"/>
          <w:color w:val="auto"/>
          <w:lang w:val="en-US" w:eastAsia="zh-CN"/>
        </w:rPr>
        <w:t>10.排水斜槽、暗涵封堵竣工图；</w:t>
      </w:r>
    </w:p>
    <w:p w14:paraId="5CF79075">
      <w:pPr>
        <w:bidi w:val="0"/>
        <w:rPr>
          <w:rFonts w:hint="eastAsia"/>
          <w:color w:val="auto"/>
          <w:lang w:val="en-US" w:eastAsia="zh-CN"/>
        </w:rPr>
      </w:pPr>
      <w:r>
        <w:rPr>
          <w:rFonts w:hint="eastAsia"/>
          <w:color w:val="auto"/>
          <w:lang w:val="en-US" w:eastAsia="zh-CN"/>
        </w:rPr>
        <w:t>11.人工监测设施竣工图；</w:t>
      </w:r>
    </w:p>
    <w:p w14:paraId="7C0A5B1E">
      <w:pPr>
        <w:bidi w:val="0"/>
        <w:rPr>
          <w:rFonts w:hint="eastAsia"/>
          <w:color w:val="auto"/>
          <w:lang w:val="en-US" w:eastAsia="zh-CN"/>
        </w:rPr>
      </w:pPr>
      <w:r>
        <w:rPr>
          <w:rFonts w:hint="eastAsia"/>
          <w:color w:val="auto"/>
          <w:lang w:val="en-US" w:eastAsia="zh-CN"/>
        </w:rPr>
        <w:t>12.尾矿库植被恢复竣工图；</w:t>
      </w:r>
    </w:p>
    <w:p w14:paraId="58B88336">
      <w:pPr>
        <w:bidi w:val="0"/>
        <w:rPr>
          <w:color w:val="auto"/>
        </w:rPr>
      </w:pPr>
    </w:p>
    <w:sectPr>
      <w:pgSz w:w="11906" w:h="16838"/>
      <w:pgMar w:top="1417" w:right="1474" w:bottom="1417" w:left="1361" w:header="964" w:footer="964"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宋体"/>
    <w:panose1 w:val="02010609030101010101"/>
    <w:charset w:val="86"/>
    <w:family w:val="modern"/>
    <w:pitch w:val="default"/>
    <w:sig w:usb0="00000000" w:usb1="00000000" w:usb2="00000000" w:usb3="00000000" w:csb0="00040000" w:csb1="00000000"/>
  </w:font>
  <w:font w:name="MingLiU">
    <w:altName w:val="PMingLiU-ExtB"/>
    <w:panose1 w:val="02020509000000000000"/>
    <w:charset w:val="88"/>
    <w:family w:val="modern"/>
    <w:pitch w:val="default"/>
    <w:sig w:usb0="00000000" w:usb1="00000000" w:usb2="00000016" w:usb3="00000000" w:csb0="00100001" w:csb1="00000000"/>
  </w:font>
  <w:font w:name="Batang">
    <w:altName w:val="Malgun Gothic"/>
    <w:panose1 w:val="02030600000101010101"/>
    <w:charset w:val="81"/>
    <w:family w:val="roman"/>
    <w:pitch w:val="default"/>
    <w:sig w:usb0="00000000" w:usb1="00000000" w:usb2="00000030" w:usb3="00000000" w:csb0="4008009F" w:csb1="DFD70000"/>
  </w:font>
  <w:font w:name="Arial Narrow">
    <w:altName w:val="宋体"/>
    <w:panose1 w:val="020B0606020202030204"/>
    <w:charset w:val="00"/>
    <w:family w:val="swiss"/>
    <w:pitch w:val="default"/>
    <w:sig w:usb0="00000000" w:usb1="00000000" w:usb2="00000000" w:usb3="00000000" w:csb0="2000009F" w:csb1="DFD70000"/>
  </w:font>
  <w:font w:name="Georgia">
    <w:panose1 w:val="02040502050405020303"/>
    <w:charset w:val="00"/>
    <w:family w:val="roman"/>
    <w:pitch w:val="default"/>
    <w:sig w:usb0="00000287" w:usb1="00000000" w:usb2="00000000" w:usb3="00000000" w:csb0="2000009F" w:csb1="00000000"/>
  </w:font>
  <w:font w:name="Gungsuh">
    <w:altName w:val="Malgun Gothic"/>
    <w:panose1 w:val="02030600000101010101"/>
    <w:charset w:val="81"/>
    <w:family w:val="roman"/>
    <w:pitch w:val="default"/>
    <w:sig w:usb0="00000000" w:usb1="00000000" w:usb2="00000030" w:usb3="00000000" w:csb0="4008009F" w:csb1="DFD70000"/>
  </w:font>
  <w:font w:name="隶书">
    <w:altName w:val="微软雅黑"/>
    <w:panose1 w:val="02010509060101010101"/>
    <w:charset w:val="86"/>
    <w:family w:val="modern"/>
    <w:pitch w:val="default"/>
    <w:sig w:usb0="00000000" w:usb1="00000000" w:usb2="00000000" w:usb3="00000000" w:csb0="00040000" w:csb1="00000000"/>
  </w:font>
  <w:font w:name="宋体-方正超大字符集">
    <w:altName w:val="宋体"/>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Trebuchet MS">
    <w:panose1 w:val="020B0603020202020204"/>
    <w:charset w:val="00"/>
    <w:family w:val="swiss"/>
    <w:pitch w:val="default"/>
    <w:sig w:usb0="00000687" w:usb1="00000000" w:usb2="00000000" w:usb3="00000000" w:csb0="200000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PMingLiU-ExtB">
    <w:panose1 w:val="02020500000000000000"/>
    <w:charset w:val="88"/>
    <w:family w:val="auto"/>
    <w:pitch w:val="default"/>
    <w:sig w:usb0="8000002F" w:usb1="02000008" w:usb2="00000000" w:usb3="00000000" w:csb0="00100001" w:csb1="00000000"/>
  </w:font>
  <w:font w:name="Malgun Gothic">
    <w:panose1 w:val="020B0503020000020004"/>
    <w:charset w:val="81"/>
    <w:family w:val="auto"/>
    <w:pitch w:val="default"/>
    <w:sig w:usb0="9000002F" w:usb1="29D77CFB" w:usb2="00000012" w:usb3="00000000" w:csb0="00080001" w:csb1="00000000"/>
  </w:font>
  <w:font w:name="Noto Sans SC">
    <w:panose1 w:val="020B0500000000000000"/>
    <w:charset w:val="86"/>
    <w:family w:val="auto"/>
    <w:pitch w:val="default"/>
    <w:sig w:usb0="2000008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C0A61C">
    <w:pPr>
      <w:pStyle w:val="37"/>
      <w:ind w:left="0" w:leftChars="0" w:firstLine="0" w:firstLineChars="0"/>
      <w:rPr>
        <w:rFonts w:hint="eastAsia" w:eastAsia="宋体"/>
        <w:lang w:eastAsia="zh-CN"/>
      </w:rPr>
    </w:pPr>
    <w:r>
      <w:rPr>
        <w:rFonts w:hint="eastAsia"/>
      </w:rPr>
      <w:t>昭通市鼎安科技有限公司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B00CA">
    <w:pPr>
      <w:pStyle w:val="3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B9EA4">
    <w:pPr>
      <w:pStyle w:val="3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DF35E">
    <w:pPr>
      <w:pStyle w:val="37"/>
      <w:tabs>
        <w:tab w:val="left" w:pos="256"/>
        <w:tab w:val="clear" w:pos="8306"/>
      </w:tabs>
      <w:ind w:firstLine="0" w:firstLineChars="0"/>
      <w:rPr>
        <w:rFonts w:hint="default"/>
        <w:lang w:val="en-US"/>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2957AC5">
                          <w:pPr>
                            <w:pStyle w:val="3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Dee5v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FDee5veAgAAJgYAAA4AAAAAAAAAAQAgAAAAHwEAAGRycy9lMm9Eb2MueG1sUEsF&#10;BgAAAAAGAAYAWQEAAG8GAAAAAA==&#10;">
              <v:fill on="f" focussize="0,0"/>
              <v:stroke on="f" weight="0.5pt"/>
              <v:imagedata o:title=""/>
              <o:lock v:ext="edit" aspectratio="f"/>
              <v:textbox inset="0mm,0mm,0mm,0mm" style="mso-fit-shape-to-text:t;">
                <w:txbxContent>
                  <w:p w14:paraId="12957AC5">
                    <w:pPr>
                      <w:pStyle w:val="37"/>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val="en-US" w:eastAsia="zh-CN"/>
      </w:rPr>
      <w:t>昭通市鼎安科技有限公司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35C15">
    <w:pPr>
      <w:bidi w:val="0"/>
      <w:ind w:left="0" w:leftChars="0" w:firstLine="0" w:firstLineChars="0"/>
      <w:jc w:val="center"/>
      <w:rPr>
        <w:sz w:val="21"/>
        <w:szCs w:val="21"/>
      </w:rPr>
    </w:pPr>
    <w:r>
      <w:rPr>
        <w:rFonts w:hint="eastAsia"/>
        <w:sz w:val="21"/>
        <w:szCs w:val="21"/>
        <w:lang w:eastAsia="zh-CN"/>
      </w:rPr>
      <w:t>元谋县大远矿业有限公司红坡铁矿选厂尾矿库</w:t>
    </w:r>
    <w:r>
      <w:rPr>
        <w:sz w:val="21"/>
        <w:szCs w:val="21"/>
      </w:rPr>
      <w:t>闭库安全</w:t>
    </w:r>
    <w:r>
      <w:rPr>
        <w:rFonts w:hint="eastAsia"/>
        <w:sz w:val="21"/>
        <w:szCs w:val="21"/>
      </w:rPr>
      <w:t>设施</w:t>
    </w:r>
    <w:r>
      <w:rPr>
        <w:sz w:val="21"/>
        <w:szCs w:val="21"/>
      </w:rPr>
      <w:t>验收评价报告</w:t>
    </w:r>
  </w:p>
  <w:p w14:paraId="260D24B8">
    <w:pPr>
      <w:pStyle w:val="38"/>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290A2">
    <w:pPr>
      <w:pStyle w:val="3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7FDE0">
    <w:pPr>
      <w:pStyle w:val="3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49A9D">
    <w:pPr>
      <w:bidi w:val="0"/>
      <w:ind w:left="0" w:leftChars="0" w:firstLine="0" w:firstLineChars="0"/>
      <w:jc w:val="center"/>
    </w:pPr>
    <w:r>
      <w:rPr>
        <w:rFonts w:hint="eastAsia"/>
        <w:sz w:val="21"/>
        <w:szCs w:val="21"/>
        <w:lang w:eastAsia="zh-CN"/>
      </w:rPr>
      <w:t>元谋县大远矿业有限公司红坡铁矿选厂尾矿库</w:t>
    </w:r>
    <w:r>
      <w:rPr>
        <w:sz w:val="21"/>
        <w:szCs w:val="21"/>
      </w:rPr>
      <w:t>闭库安全</w:t>
    </w:r>
    <w:r>
      <w:rPr>
        <w:rFonts w:hint="eastAsia"/>
        <w:sz w:val="21"/>
        <w:szCs w:val="21"/>
      </w:rPr>
      <w:t>设施</w:t>
    </w:r>
    <w:r>
      <w:rPr>
        <w:sz w:val="21"/>
        <w:szCs w:val="21"/>
      </w:rPr>
      <w:t>验收评价报告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63F3A">
    <w:pPr>
      <w:bidi w:val="0"/>
      <w:ind w:left="0" w:leftChars="0" w:firstLine="0" w:firstLineChars="0"/>
      <w:jc w:val="center"/>
      <w:rPr>
        <w:lang w:eastAsia="en-US"/>
      </w:rPr>
    </w:pPr>
    <w:r>
      <w:rPr>
        <w:rFonts w:hint="eastAsia"/>
        <w:sz w:val="21"/>
        <w:szCs w:val="21"/>
        <w:lang w:eastAsia="zh-CN"/>
      </w:rPr>
      <w:t>元谋县大远矿业有限公司红坡铁矿选厂尾矿库</w:t>
    </w:r>
    <w:r>
      <w:rPr>
        <w:sz w:val="21"/>
        <w:szCs w:val="21"/>
      </w:rPr>
      <w:t>闭库安全</w:t>
    </w:r>
    <w:r>
      <w:rPr>
        <w:rFonts w:hint="eastAsia"/>
        <w:sz w:val="21"/>
        <w:szCs w:val="21"/>
      </w:rPr>
      <w:t>设施</w:t>
    </w:r>
    <w:r>
      <w:rPr>
        <w:sz w:val="21"/>
        <w:szCs w:val="21"/>
      </w:rPr>
      <w:t>验收评价报告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636E0C"/>
    <w:multiLevelType w:val="singleLevel"/>
    <w:tmpl w:val="C3636E0C"/>
    <w:lvl w:ilvl="0" w:tentative="0">
      <w:start w:val="1"/>
      <w:numFmt w:val="decimal"/>
      <w:suff w:val="nothing"/>
      <w:lvlText w:val="%1、"/>
      <w:lvlJc w:val="left"/>
    </w:lvl>
  </w:abstractNum>
  <w:abstractNum w:abstractNumId="1">
    <w:nsid w:val="C41ADD5D"/>
    <w:multiLevelType w:val="singleLevel"/>
    <w:tmpl w:val="C41ADD5D"/>
    <w:lvl w:ilvl="0" w:tentative="0">
      <w:start w:val="1"/>
      <w:numFmt w:val="decimal"/>
      <w:lvlText w:val="%1."/>
      <w:lvlJc w:val="left"/>
      <w:pPr>
        <w:tabs>
          <w:tab w:val="left" w:pos="312"/>
        </w:tabs>
      </w:pPr>
    </w:lvl>
  </w:abstractNum>
  <w:abstractNum w:abstractNumId="2">
    <w:nsid w:val="D8A8E230"/>
    <w:multiLevelType w:val="singleLevel"/>
    <w:tmpl w:val="D8A8E230"/>
    <w:lvl w:ilvl="0" w:tentative="0">
      <w:start w:val="1"/>
      <w:numFmt w:val="decimal"/>
      <w:lvlText w:val="%1."/>
      <w:lvlJc w:val="left"/>
      <w:pPr>
        <w:tabs>
          <w:tab w:val="left" w:pos="312"/>
        </w:tabs>
      </w:pPr>
    </w:lvl>
  </w:abstractNum>
  <w:abstractNum w:abstractNumId="3">
    <w:nsid w:val="084865C5"/>
    <w:multiLevelType w:val="multilevel"/>
    <w:tmpl w:val="084865C5"/>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B1576DC"/>
    <w:multiLevelType w:val="multilevel"/>
    <w:tmpl w:val="2B1576DC"/>
    <w:lvl w:ilvl="0" w:tentative="0">
      <w:start w:val="1"/>
      <w:numFmt w:val="decimal"/>
      <w:suff w:val="nothing"/>
      <w:lvlText w:val="%1."/>
      <w:lvlJc w:val="left"/>
      <w:pPr>
        <w:ind w:left="0" w:firstLine="56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44A52ACE"/>
    <w:multiLevelType w:val="multilevel"/>
    <w:tmpl w:val="44A52ACE"/>
    <w:lvl w:ilvl="0" w:tentative="0">
      <w:start w:val="1"/>
      <w:numFmt w:val="decimal"/>
      <w:pStyle w:val="3"/>
      <w:isLgl/>
      <w:suff w:val="nothing"/>
      <w:lvlText w:val="%1."/>
      <w:lvlJc w:val="left"/>
      <w:pPr>
        <w:ind w:left="0" w:firstLine="0"/>
      </w:pPr>
      <w:rPr>
        <w:rFonts w:hint="eastAsia"/>
      </w:rPr>
    </w:lvl>
    <w:lvl w:ilvl="1" w:tentative="0">
      <w:start w:val="1"/>
      <w:numFmt w:val="decimal"/>
      <w:pStyle w:val="4"/>
      <w:suff w:val="nothing"/>
      <w:lvlText w:val="%1.%2"/>
      <w:lvlJc w:val="left"/>
      <w:pPr>
        <w:ind w:left="426" w:firstLine="0"/>
      </w:pPr>
      <w:rPr>
        <w:rFonts w:hint="eastAsia"/>
      </w:rPr>
    </w:lvl>
    <w:lvl w:ilvl="2" w:tentative="0">
      <w:start w:val="1"/>
      <w:numFmt w:val="decimal"/>
      <w:pStyle w:val="5"/>
      <w:isLgl/>
      <w:suff w:val="nothing"/>
      <w:lvlText w:val="%1.%2.%3"/>
      <w:lvlJc w:val="left"/>
      <w:pPr>
        <w:ind w:left="426" w:firstLine="0"/>
      </w:pPr>
      <w:rPr>
        <w:rFonts w:hint="eastAsia"/>
      </w:rPr>
    </w:lvl>
    <w:lvl w:ilvl="3" w:tentative="0">
      <w:start w:val="1"/>
      <w:numFmt w:val="decimal"/>
      <w:pStyle w:val="6"/>
      <w:isLgl/>
      <w:suff w:val="nothing"/>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6">
    <w:nsid w:val="509778EF"/>
    <w:multiLevelType w:val="multilevel"/>
    <w:tmpl w:val="509778EF"/>
    <w:lvl w:ilvl="0" w:tentative="0">
      <w:start w:val="1"/>
      <w:numFmt w:val="decimal"/>
      <w:pStyle w:val="108"/>
      <w:suff w:val="nothing"/>
      <w:lvlText w:val="%1."/>
      <w:lvlJc w:val="left"/>
      <w:pPr>
        <w:ind w:left="0" w:firstLine="56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53FA688D"/>
    <w:multiLevelType w:val="multilevel"/>
    <w:tmpl w:val="53FA688D"/>
    <w:lvl w:ilvl="0" w:tentative="0">
      <w:start w:val="1"/>
      <w:numFmt w:val="decimal"/>
      <w:pStyle w:val="13"/>
      <w:lvlText w:val="第%1章"/>
      <w:lvlJc w:val="center"/>
      <w:pPr>
        <w:tabs>
          <w:tab w:val="left" w:pos="1080"/>
        </w:tabs>
        <w:ind w:left="1080" w:firstLine="0"/>
      </w:pPr>
      <w:rPr>
        <w:rFonts w:hint="default" w:ascii="Times New Roman" w:hAnsi="Times New Roman" w:eastAsia="黑体"/>
        <w:b/>
        <w:i w:val="0"/>
        <w:color w:val="auto"/>
        <w:sz w:val="44"/>
        <w:szCs w:val="44"/>
        <w:u w:val="none"/>
      </w:rPr>
    </w:lvl>
    <w:lvl w:ilvl="1" w:tentative="0">
      <w:start w:val="1"/>
      <w:numFmt w:val="decimal"/>
      <w:lvlText w:val="%1.%2"/>
      <w:lvlJc w:val="left"/>
      <w:pPr>
        <w:tabs>
          <w:tab w:val="left" w:pos="567"/>
        </w:tabs>
        <w:ind w:left="0" w:firstLine="0"/>
      </w:pPr>
      <w:rPr>
        <w:rFonts w:hint="default" w:ascii="Times New Roman" w:hAnsi="Times New Roman" w:eastAsia="黑体" w:cs="Times New Roman"/>
        <w:b/>
        <w:i w:val="0"/>
        <w:color w:val="auto"/>
        <w:sz w:val="36"/>
        <w:szCs w:val="36"/>
        <w:u w:val="none"/>
      </w:rPr>
    </w:lvl>
    <w:lvl w:ilvl="2" w:tentative="0">
      <w:start w:val="1"/>
      <w:numFmt w:val="bullet"/>
      <w:lvlText w:val=""/>
      <w:lvlJc w:val="left"/>
      <w:pPr>
        <w:tabs>
          <w:tab w:val="left" w:pos="3969"/>
        </w:tabs>
        <w:ind w:left="3260" w:firstLine="0"/>
      </w:pPr>
      <w:rPr>
        <w:rFonts w:hint="default" w:ascii="Wingdings" w:hAnsi="Wingdings"/>
        <w:b/>
        <w:i w:val="0"/>
        <w:color w:val="auto"/>
        <w:spacing w:val="0"/>
        <w:w w:val="100"/>
        <w:position w:val="0"/>
        <w:sz w:val="32"/>
        <w:szCs w:val="32"/>
        <w:u w:val="none"/>
      </w:rPr>
    </w:lvl>
    <w:lvl w:ilvl="3" w:tentative="0">
      <w:start w:val="1"/>
      <w:numFmt w:val="decimal"/>
      <w:lvlText w:val="%1.%2.%3.%4."/>
      <w:lvlJc w:val="left"/>
      <w:pPr>
        <w:tabs>
          <w:tab w:val="left" w:pos="851"/>
        </w:tabs>
        <w:ind w:left="567"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
    <w:nsid w:val="59901672"/>
    <w:multiLevelType w:val="singleLevel"/>
    <w:tmpl w:val="59901672"/>
    <w:lvl w:ilvl="0" w:tentative="0">
      <w:start w:val="1"/>
      <w:numFmt w:val="decimal"/>
      <w:pStyle w:val="238"/>
      <w:lvlText w:val="(%1)"/>
      <w:lvlJc w:val="left"/>
      <w:pPr>
        <w:tabs>
          <w:tab w:val="left" w:pos="420"/>
        </w:tabs>
        <w:ind w:left="425" w:hanging="425"/>
      </w:pPr>
      <w:rPr>
        <w:rFonts w:hint="default"/>
      </w:rPr>
    </w:lvl>
  </w:abstractNum>
  <w:abstractNum w:abstractNumId="9">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color w:val="auto"/>
        <w:sz w:val="21"/>
      </w:rPr>
    </w:lvl>
    <w:lvl w:ilvl="3" w:tentative="0">
      <w:start w:val="1"/>
      <w:numFmt w:val="decimal"/>
      <w:suff w:val="nothing"/>
      <w:lvlText w:val="%1%2.%3.%4　"/>
      <w:lvlJc w:val="left"/>
      <w:pPr>
        <w:ind w:left="0" w:firstLine="0"/>
      </w:pPr>
      <w:rPr>
        <w:rFonts w:hint="eastAsia" w:ascii="宋体" w:hAnsi="宋体" w:eastAsia="宋体"/>
        <w:b w:val="0"/>
        <w:i w:val="0"/>
        <w:sz w:val="21"/>
      </w:rPr>
    </w:lvl>
    <w:lvl w:ilvl="4" w:tentative="0">
      <w:start w:val="1"/>
      <w:numFmt w:val="decimal"/>
      <w:pStyle w:val="86"/>
      <w:suff w:val="nothing"/>
      <w:lvlText w:val="%1%2.%3.%4.%5　"/>
      <w:lvlJc w:val="left"/>
      <w:pPr>
        <w:ind w:left="1050" w:firstLine="0"/>
      </w:pPr>
      <w:rPr>
        <w:rFonts w:hint="eastAsia" w:ascii="黑体" w:hAnsi="Times New Roman" w:eastAsia="黑体"/>
        <w:b w:val="0"/>
        <w:i w:val="0"/>
        <w:sz w:val="21"/>
        <w:szCs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5"/>
  </w:num>
  <w:num w:numId="2">
    <w:abstractNumId w:val="7"/>
  </w:num>
  <w:num w:numId="3">
    <w:abstractNumId w:val="9"/>
  </w:num>
  <w:num w:numId="4">
    <w:abstractNumId w:val="6"/>
  </w:num>
  <w:num w:numId="5">
    <w:abstractNumId w:val="8"/>
  </w:num>
  <w:num w:numId="6">
    <w:abstractNumId w:val="4"/>
  </w:num>
  <w:num w:numId="7">
    <w:abstractNumId w:val="3"/>
  </w:num>
  <w:num w:numId="8">
    <w:abstractNumId w:val="0"/>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3"/>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JkMjUyODdkYTBkZTM5OGM1Zjg3MWI0ZGNlZDI4MTMifQ=="/>
  </w:docVars>
  <w:rsids>
    <w:rsidRoot w:val="00172A27"/>
    <w:rsid w:val="000036ED"/>
    <w:rsid w:val="00010EE6"/>
    <w:rsid w:val="00020D37"/>
    <w:rsid w:val="000235DF"/>
    <w:rsid w:val="00024A84"/>
    <w:rsid w:val="0002660A"/>
    <w:rsid w:val="00035A56"/>
    <w:rsid w:val="000560E0"/>
    <w:rsid w:val="00063A27"/>
    <w:rsid w:val="00064A5D"/>
    <w:rsid w:val="0006501F"/>
    <w:rsid w:val="000701C3"/>
    <w:rsid w:val="00073DCE"/>
    <w:rsid w:val="000840AC"/>
    <w:rsid w:val="00085114"/>
    <w:rsid w:val="00087FAD"/>
    <w:rsid w:val="000A3CC6"/>
    <w:rsid w:val="000A55C3"/>
    <w:rsid w:val="000A6BA0"/>
    <w:rsid w:val="000A7C69"/>
    <w:rsid w:val="000B206A"/>
    <w:rsid w:val="000B5D24"/>
    <w:rsid w:val="000B65E5"/>
    <w:rsid w:val="000C1055"/>
    <w:rsid w:val="000D03F0"/>
    <w:rsid w:val="000D0ACD"/>
    <w:rsid w:val="000D15BF"/>
    <w:rsid w:val="000D5F26"/>
    <w:rsid w:val="000E15EB"/>
    <w:rsid w:val="000E2487"/>
    <w:rsid w:val="000E3AD4"/>
    <w:rsid w:val="000E684C"/>
    <w:rsid w:val="000E6ACD"/>
    <w:rsid w:val="000E765E"/>
    <w:rsid w:val="000F2187"/>
    <w:rsid w:val="000F41ED"/>
    <w:rsid w:val="000F45CB"/>
    <w:rsid w:val="001014B1"/>
    <w:rsid w:val="00101ACE"/>
    <w:rsid w:val="00110565"/>
    <w:rsid w:val="00111CDA"/>
    <w:rsid w:val="00113E65"/>
    <w:rsid w:val="00113FF1"/>
    <w:rsid w:val="001158DE"/>
    <w:rsid w:val="00121A03"/>
    <w:rsid w:val="0013226A"/>
    <w:rsid w:val="001326D4"/>
    <w:rsid w:val="00133B27"/>
    <w:rsid w:val="00134B22"/>
    <w:rsid w:val="00135B3B"/>
    <w:rsid w:val="001474BE"/>
    <w:rsid w:val="001516E6"/>
    <w:rsid w:val="00170A0A"/>
    <w:rsid w:val="001740F3"/>
    <w:rsid w:val="0018298B"/>
    <w:rsid w:val="00184131"/>
    <w:rsid w:val="00192E32"/>
    <w:rsid w:val="001938A1"/>
    <w:rsid w:val="001964C1"/>
    <w:rsid w:val="00197F83"/>
    <w:rsid w:val="001A350A"/>
    <w:rsid w:val="001A62A4"/>
    <w:rsid w:val="001A7158"/>
    <w:rsid w:val="001C4E3E"/>
    <w:rsid w:val="001C7752"/>
    <w:rsid w:val="001D0DA2"/>
    <w:rsid w:val="001D2CD8"/>
    <w:rsid w:val="001E250B"/>
    <w:rsid w:val="001E6788"/>
    <w:rsid w:val="001F137D"/>
    <w:rsid w:val="001F66A0"/>
    <w:rsid w:val="001F75B4"/>
    <w:rsid w:val="002000DA"/>
    <w:rsid w:val="00201722"/>
    <w:rsid w:val="00213CF6"/>
    <w:rsid w:val="00216740"/>
    <w:rsid w:val="00216776"/>
    <w:rsid w:val="00224475"/>
    <w:rsid w:val="0023146C"/>
    <w:rsid w:val="002325B9"/>
    <w:rsid w:val="0023422D"/>
    <w:rsid w:val="00235DD3"/>
    <w:rsid w:val="00237CBB"/>
    <w:rsid w:val="00242474"/>
    <w:rsid w:val="00244900"/>
    <w:rsid w:val="00246F9D"/>
    <w:rsid w:val="00252AFE"/>
    <w:rsid w:val="00253EA7"/>
    <w:rsid w:val="0025785B"/>
    <w:rsid w:val="00261A92"/>
    <w:rsid w:val="00262B4C"/>
    <w:rsid w:val="00262CF7"/>
    <w:rsid w:val="002655F8"/>
    <w:rsid w:val="00265618"/>
    <w:rsid w:val="002665A8"/>
    <w:rsid w:val="00267307"/>
    <w:rsid w:val="00276C52"/>
    <w:rsid w:val="00277931"/>
    <w:rsid w:val="00282F1A"/>
    <w:rsid w:val="002832E2"/>
    <w:rsid w:val="002872C4"/>
    <w:rsid w:val="00290345"/>
    <w:rsid w:val="002955E2"/>
    <w:rsid w:val="00295928"/>
    <w:rsid w:val="002B29A5"/>
    <w:rsid w:val="002B2B12"/>
    <w:rsid w:val="002C0F5D"/>
    <w:rsid w:val="002F41C2"/>
    <w:rsid w:val="00301FEF"/>
    <w:rsid w:val="0030386F"/>
    <w:rsid w:val="0030468B"/>
    <w:rsid w:val="0030733B"/>
    <w:rsid w:val="00314859"/>
    <w:rsid w:val="00315DDB"/>
    <w:rsid w:val="003224B2"/>
    <w:rsid w:val="003309D4"/>
    <w:rsid w:val="00332F70"/>
    <w:rsid w:val="0033468B"/>
    <w:rsid w:val="00334DA9"/>
    <w:rsid w:val="00345A77"/>
    <w:rsid w:val="00345E18"/>
    <w:rsid w:val="00350147"/>
    <w:rsid w:val="00354851"/>
    <w:rsid w:val="00357BAE"/>
    <w:rsid w:val="00361289"/>
    <w:rsid w:val="0036251C"/>
    <w:rsid w:val="00363AB1"/>
    <w:rsid w:val="003732A6"/>
    <w:rsid w:val="00373A3F"/>
    <w:rsid w:val="00375DE9"/>
    <w:rsid w:val="00380141"/>
    <w:rsid w:val="00380E78"/>
    <w:rsid w:val="00385456"/>
    <w:rsid w:val="00387727"/>
    <w:rsid w:val="003A2392"/>
    <w:rsid w:val="003A512D"/>
    <w:rsid w:val="003A68EF"/>
    <w:rsid w:val="003B677A"/>
    <w:rsid w:val="003C048D"/>
    <w:rsid w:val="003C15F2"/>
    <w:rsid w:val="003C1EB8"/>
    <w:rsid w:val="003C4214"/>
    <w:rsid w:val="003C760E"/>
    <w:rsid w:val="003E26DB"/>
    <w:rsid w:val="003E4D17"/>
    <w:rsid w:val="003E668D"/>
    <w:rsid w:val="003F19B0"/>
    <w:rsid w:val="003F6614"/>
    <w:rsid w:val="003F6777"/>
    <w:rsid w:val="00403D72"/>
    <w:rsid w:val="004043AE"/>
    <w:rsid w:val="0040622E"/>
    <w:rsid w:val="004115BD"/>
    <w:rsid w:val="00412A0D"/>
    <w:rsid w:val="00422DAA"/>
    <w:rsid w:val="00423106"/>
    <w:rsid w:val="00424DF8"/>
    <w:rsid w:val="0042795C"/>
    <w:rsid w:val="004375D9"/>
    <w:rsid w:val="00441B7A"/>
    <w:rsid w:val="00454439"/>
    <w:rsid w:val="00465BDB"/>
    <w:rsid w:val="00465DA1"/>
    <w:rsid w:val="00466359"/>
    <w:rsid w:val="00474847"/>
    <w:rsid w:val="00474A48"/>
    <w:rsid w:val="00476318"/>
    <w:rsid w:val="004802E0"/>
    <w:rsid w:val="00480FCE"/>
    <w:rsid w:val="00484CEF"/>
    <w:rsid w:val="00493629"/>
    <w:rsid w:val="004A1C5C"/>
    <w:rsid w:val="004A5F90"/>
    <w:rsid w:val="004A6F06"/>
    <w:rsid w:val="004B09F7"/>
    <w:rsid w:val="004C35E1"/>
    <w:rsid w:val="004C424C"/>
    <w:rsid w:val="004D6AE3"/>
    <w:rsid w:val="004D7806"/>
    <w:rsid w:val="004E6A9D"/>
    <w:rsid w:val="004F4957"/>
    <w:rsid w:val="0050063F"/>
    <w:rsid w:val="00500C93"/>
    <w:rsid w:val="00501CC4"/>
    <w:rsid w:val="00502F01"/>
    <w:rsid w:val="0050577E"/>
    <w:rsid w:val="005063D4"/>
    <w:rsid w:val="00510DC0"/>
    <w:rsid w:val="0052088F"/>
    <w:rsid w:val="00522CB9"/>
    <w:rsid w:val="00526874"/>
    <w:rsid w:val="00535A31"/>
    <w:rsid w:val="00536C38"/>
    <w:rsid w:val="00541D79"/>
    <w:rsid w:val="005605CB"/>
    <w:rsid w:val="0056091D"/>
    <w:rsid w:val="00561954"/>
    <w:rsid w:val="00561BCF"/>
    <w:rsid w:val="00564AFC"/>
    <w:rsid w:val="0057074D"/>
    <w:rsid w:val="005713E3"/>
    <w:rsid w:val="00576590"/>
    <w:rsid w:val="00583452"/>
    <w:rsid w:val="00583FA8"/>
    <w:rsid w:val="00594632"/>
    <w:rsid w:val="00594B31"/>
    <w:rsid w:val="005A41B8"/>
    <w:rsid w:val="005A6803"/>
    <w:rsid w:val="005A6C5A"/>
    <w:rsid w:val="005B4E42"/>
    <w:rsid w:val="005B7B35"/>
    <w:rsid w:val="005C3EE8"/>
    <w:rsid w:val="005C4390"/>
    <w:rsid w:val="005C7010"/>
    <w:rsid w:val="005D36BD"/>
    <w:rsid w:val="005D65AB"/>
    <w:rsid w:val="005D7CEB"/>
    <w:rsid w:val="005E3AF5"/>
    <w:rsid w:val="005E7C0F"/>
    <w:rsid w:val="005F5E44"/>
    <w:rsid w:val="005F7766"/>
    <w:rsid w:val="006061CA"/>
    <w:rsid w:val="006064DB"/>
    <w:rsid w:val="0060674A"/>
    <w:rsid w:val="00610FD8"/>
    <w:rsid w:val="00616BE7"/>
    <w:rsid w:val="00616DE1"/>
    <w:rsid w:val="00620274"/>
    <w:rsid w:val="0062330B"/>
    <w:rsid w:val="00626A72"/>
    <w:rsid w:val="00631B6F"/>
    <w:rsid w:val="00637B0E"/>
    <w:rsid w:val="00640B0C"/>
    <w:rsid w:val="006418A3"/>
    <w:rsid w:val="00653857"/>
    <w:rsid w:val="00662D55"/>
    <w:rsid w:val="00662DB0"/>
    <w:rsid w:val="006634EA"/>
    <w:rsid w:val="0066466E"/>
    <w:rsid w:val="00664E59"/>
    <w:rsid w:val="00666511"/>
    <w:rsid w:val="006723FE"/>
    <w:rsid w:val="006768F0"/>
    <w:rsid w:val="006855F5"/>
    <w:rsid w:val="00690416"/>
    <w:rsid w:val="00690505"/>
    <w:rsid w:val="00690D09"/>
    <w:rsid w:val="006921C5"/>
    <w:rsid w:val="0069473B"/>
    <w:rsid w:val="00694A24"/>
    <w:rsid w:val="00697DC4"/>
    <w:rsid w:val="006A128B"/>
    <w:rsid w:val="006A2E91"/>
    <w:rsid w:val="006A52DC"/>
    <w:rsid w:val="006A5E6E"/>
    <w:rsid w:val="006B00AD"/>
    <w:rsid w:val="006B2771"/>
    <w:rsid w:val="006C08DD"/>
    <w:rsid w:val="006C39A1"/>
    <w:rsid w:val="006C44CC"/>
    <w:rsid w:val="006C6FA5"/>
    <w:rsid w:val="006D3794"/>
    <w:rsid w:val="006D63FB"/>
    <w:rsid w:val="006E0DA7"/>
    <w:rsid w:val="006E7715"/>
    <w:rsid w:val="006F53CD"/>
    <w:rsid w:val="00703374"/>
    <w:rsid w:val="00710C32"/>
    <w:rsid w:val="00711182"/>
    <w:rsid w:val="0072052D"/>
    <w:rsid w:val="00723D6A"/>
    <w:rsid w:val="0072680A"/>
    <w:rsid w:val="00727F91"/>
    <w:rsid w:val="00734F57"/>
    <w:rsid w:val="00752390"/>
    <w:rsid w:val="00752BE1"/>
    <w:rsid w:val="00752DA3"/>
    <w:rsid w:val="00767E79"/>
    <w:rsid w:val="0077172E"/>
    <w:rsid w:val="00776119"/>
    <w:rsid w:val="00777F19"/>
    <w:rsid w:val="00780E8E"/>
    <w:rsid w:val="00781AE3"/>
    <w:rsid w:val="00791656"/>
    <w:rsid w:val="00797A43"/>
    <w:rsid w:val="007A2B96"/>
    <w:rsid w:val="007A3077"/>
    <w:rsid w:val="007B3FC6"/>
    <w:rsid w:val="007B61A2"/>
    <w:rsid w:val="007B7346"/>
    <w:rsid w:val="007C1D19"/>
    <w:rsid w:val="007D2671"/>
    <w:rsid w:val="007D7CBA"/>
    <w:rsid w:val="007E0A59"/>
    <w:rsid w:val="007E0DB0"/>
    <w:rsid w:val="007E71A4"/>
    <w:rsid w:val="007F06D9"/>
    <w:rsid w:val="007F1E49"/>
    <w:rsid w:val="007F3587"/>
    <w:rsid w:val="007F6C45"/>
    <w:rsid w:val="00804132"/>
    <w:rsid w:val="00806A3F"/>
    <w:rsid w:val="00807480"/>
    <w:rsid w:val="008136DD"/>
    <w:rsid w:val="00814423"/>
    <w:rsid w:val="008163BE"/>
    <w:rsid w:val="008365C1"/>
    <w:rsid w:val="00840D91"/>
    <w:rsid w:val="00840F7B"/>
    <w:rsid w:val="0084354D"/>
    <w:rsid w:val="00854939"/>
    <w:rsid w:val="00855117"/>
    <w:rsid w:val="00863F35"/>
    <w:rsid w:val="008641D3"/>
    <w:rsid w:val="00865F28"/>
    <w:rsid w:val="008673B7"/>
    <w:rsid w:val="0087029E"/>
    <w:rsid w:val="008802A1"/>
    <w:rsid w:val="0088430D"/>
    <w:rsid w:val="00885189"/>
    <w:rsid w:val="00886E2D"/>
    <w:rsid w:val="00887A41"/>
    <w:rsid w:val="00896652"/>
    <w:rsid w:val="00897DEC"/>
    <w:rsid w:val="008A28C2"/>
    <w:rsid w:val="008A2FCF"/>
    <w:rsid w:val="008A363D"/>
    <w:rsid w:val="008A494A"/>
    <w:rsid w:val="008B5E07"/>
    <w:rsid w:val="008C4604"/>
    <w:rsid w:val="008C68EF"/>
    <w:rsid w:val="008C7E6C"/>
    <w:rsid w:val="008D36B8"/>
    <w:rsid w:val="008D3BCC"/>
    <w:rsid w:val="008D7341"/>
    <w:rsid w:val="008E0F21"/>
    <w:rsid w:val="008E1226"/>
    <w:rsid w:val="008E3D50"/>
    <w:rsid w:val="008E4584"/>
    <w:rsid w:val="008E4E3D"/>
    <w:rsid w:val="008E531D"/>
    <w:rsid w:val="008E553C"/>
    <w:rsid w:val="008F18A0"/>
    <w:rsid w:val="008F3D76"/>
    <w:rsid w:val="009056A4"/>
    <w:rsid w:val="009056DB"/>
    <w:rsid w:val="00905F64"/>
    <w:rsid w:val="00906DB0"/>
    <w:rsid w:val="00916382"/>
    <w:rsid w:val="0092180D"/>
    <w:rsid w:val="00922F26"/>
    <w:rsid w:val="009243AC"/>
    <w:rsid w:val="00927F07"/>
    <w:rsid w:val="009311CE"/>
    <w:rsid w:val="00933D3F"/>
    <w:rsid w:val="00934347"/>
    <w:rsid w:val="00935BFF"/>
    <w:rsid w:val="009402C0"/>
    <w:rsid w:val="00952DEC"/>
    <w:rsid w:val="00956682"/>
    <w:rsid w:val="00956BCE"/>
    <w:rsid w:val="00961F43"/>
    <w:rsid w:val="00974586"/>
    <w:rsid w:val="0098486A"/>
    <w:rsid w:val="00992A1D"/>
    <w:rsid w:val="00996333"/>
    <w:rsid w:val="009A0B7D"/>
    <w:rsid w:val="009A1222"/>
    <w:rsid w:val="009A1631"/>
    <w:rsid w:val="009A61FF"/>
    <w:rsid w:val="009B6D86"/>
    <w:rsid w:val="009B77B8"/>
    <w:rsid w:val="009C1DC3"/>
    <w:rsid w:val="009C20BE"/>
    <w:rsid w:val="009C4979"/>
    <w:rsid w:val="009E6CAF"/>
    <w:rsid w:val="009F4490"/>
    <w:rsid w:val="009F65CC"/>
    <w:rsid w:val="00A00854"/>
    <w:rsid w:val="00A042AE"/>
    <w:rsid w:val="00A21098"/>
    <w:rsid w:val="00A3388C"/>
    <w:rsid w:val="00A34322"/>
    <w:rsid w:val="00A34C1B"/>
    <w:rsid w:val="00A34E92"/>
    <w:rsid w:val="00A3714F"/>
    <w:rsid w:val="00A41F51"/>
    <w:rsid w:val="00A434C8"/>
    <w:rsid w:val="00A4444D"/>
    <w:rsid w:val="00A53218"/>
    <w:rsid w:val="00A62764"/>
    <w:rsid w:val="00A63E7F"/>
    <w:rsid w:val="00A70C54"/>
    <w:rsid w:val="00A72DD1"/>
    <w:rsid w:val="00A75355"/>
    <w:rsid w:val="00A77702"/>
    <w:rsid w:val="00A84F1F"/>
    <w:rsid w:val="00A8697F"/>
    <w:rsid w:val="00A87145"/>
    <w:rsid w:val="00A93D25"/>
    <w:rsid w:val="00AA2576"/>
    <w:rsid w:val="00AA2ECC"/>
    <w:rsid w:val="00AB36F1"/>
    <w:rsid w:val="00AB3D1C"/>
    <w:rsid w:val="00AB4F41"/>
    <w:rsid w:val="00AB6C2A"/>
    <w:rsid w:val="00AB6F7F"/>
    <w:rsid w:val="00AB7B60"/>
    <w:rsid w:val="00AD180C"/>
    <w:rsid w:val="00AD19DF"/>
    <w:rsid w:val="00AD371A"/>
    <w:rsid w:val="00AE20D1"/>
    <w:rsid w:val="00AE7959"/>
    <w:rsid w:val="00AF1234"/>
    <w:rsid w:val="00AF4D92"/>
    <w:rsid w:val="00AF51D5"/>
    <w:rsid w:val="00AF60EC"/>
    <w:rsid w:val="00B0455E"/>
    <w:rsid w:val="00B07D0E"/>
    <w:rsid w:val="00B13905"/>
    <w:rsid w:val="00B13A31"/>
    <w:rsid w:val="00B145FA"/>
    <w:rsid w:val="00B35C58"/>
    <w:rsid w:val="00B35C91"/>
    <w:rsid w:val="00B374AC"/>
    <w:rsid w:val="00B37703"/>
    <w:rsid w:val="00B42697"/>
    <w:rsid w:val="00B447CB"/>
    <w:rsid w:val="00B4695B"/>
    <w:rsid w:val="00B51512"/>
    <w:rsid w:val="00B51889"/>
    <w:rsid w:val="00B53989"/>
    <w:rsid w:val="00B542C0"/>
    <w:rsid w:val="00B70C95"/>
    <w:rsid w:val="00B95335"/>
    <w:rsid w:val="00B967B3"/>
    <w:rsid w:val="00B96CC1"/>
    <w:rsid w:val="00BA177D"/>
    <w:rsid w:val="00BC05C0"/>
    <w:rsid w:val="00BC0F9D"/>
    <w:rsid w:val="00BC2662"/>
    <w:rsid w:val="00BC2D77"/>
    <w:rsid w:val="00BC4FFE"/>
    <w:rsid w:val="00BC5E15"/>
    <w:rsid w:val="00BC7DCA"/>
    <w:rsid w:val="00BD6552"/>
    <w:rsid w:val="00BE3C9C"/>
    <w:rsid w:val="00BE514F"/>
    <w:rsid w:val="00BF06C2"/>
    <w:rsid w:val="00BF5B3D"/>
    <w:rsid w:val="00BF603F"/>
    <w:rsid w:val="00BF7917"/>
    <w:rsid w:val="00C00161"/>
    <w:rsid w:val="00C0081D"/>
    <w:rsid w:val="00C030BC"/>
    <w:rsid w:val="00C11719"/>
    <w:rsid w:val="00C13CAF"/>
    <w:rsid w:val="00C174C7"/>
    <w:rsid w:val="00C27D60"/>
    <w:rsid w:val="00C3020D"/>
    <w:rsid w:val="00C30CFD"/>
    <w:rsid w:val="00C350BC"/>
    <w:rsid w:val="00C43AB4"/>
    <w:rsid w:val="00C4459C"/>
    <w:rsid w:val="00C53A7C"/>
    <w:rsid w:val="00C56554"/>
    <w:rsid w:val="00C57B8A"/>
    <w:rsid w:val="00C622BF"/>
    <w:rsid w:val="00C62CD6"/>
    <w:rsid w:val="00C63B49"/>
    <w:rsid w:val="00C672E9"/>
    <w:rsid w:val="00C679DC"/>
    <w:rsid w:val="00C75DCA"/>
    <w:rsid w:val="00C9362E"/>
    <w:rsid w:val="00C943CA"/>
    <w:rsid w:val="00CA1F6B"/>
    <w:rsid w:val="00CA47CD"/>
    <w:rsid w:val="00CA688C"/>
    <w:rsid w:val="00CB1BE5"/>
    <w:rsid w:val="00CB266F"/>
    <w:rsid w:val="00CB4A7C"/>
    <w:rsid w:val="00CB5C48"/>
    <w:rsid w:val="00CB7369"/>
    <w:rsid w:val="00CC4C23"/>
    <w:rsid w:val="00CD17C8"/>
    <w:rsid w:val="00CD1BCD"/>
    <w:rsid w:val="00CD3548"/>
    <w:rsid w:val="00CD5D28"/>
    <w:rsid w:val="00CD7CAF"/>
    <w:rsid w:val="00CE053D"/>
    <w:rsid w:val="00CE0BB7"/>
    <w:rsid w:val="00CE15CC"/>
    <w:rsid w:val="00CE433B"/>
    <w:rsid w:val="00CE730D"/>
    <w:rsid w:val="00CF52C7"/>
    <w:rsid w:val="00CF61CF"/>
    <w:rsid w:val="00CF6800"/>
    <w:rsid w:val="00D033E5"/>
    <w:rsid w:val="00D20A4F"/>
    <w:rsid w:val="00D26C51"/>
    <w:rsid w:val="00D30910"/>
    <w:rsid w:val="00D30A12"/>
    <w:rsid w:val="00D3411E"/>
    <w:rsid w:val="00D363A0"/>
    <w:rsid w:val="00D36F25"/>
    <w:rsid w:val="00D42EDC"/>
    <w:rsid w:val="00D43C24"/>
    <w:rsid w:val="00D60A8D"/>
    <w:rsid w:val="00D619A8"/>
    <w:rsid w:val="00D75CC2"/>
    <w:rsid w:val="00D75F0D"/>
    <w:rsid w:val="00D7670F"/>
    <w:rsid w:val="00D8147E"/>
    <w:rsid w:val="00D84D56"/>
    <w:rsid w:val="00D95420"/>
    <w:rsid w:val="00DA2D3D"/>
    <w:rsid w:val="00DA32B8"/>
    <w:rsid w:val="00DA4D0A"/>
    <w:rsid w:val="00DA7A9A"/>
    <w:rsid w:val="00DB2A08"/>
    <w:rsid w:val="00DB2A94"/>
    <w:rsid w:val="00DC0540"/>
    <w:rsid w:val="00DC2A92"/>
    <w:rsid w:val="00DD4AA0"/>
    <w:rsid w:val="00DE44E1"/>
    <w:rsid w:val="00DE6B47"/>
    <w:rsid w:val="00DF1F5E"/>
    <w:rsid w:val="00DF201B"/>
    <w:rsid w:val="00DF2ACF"/>
    <w:rsid w:val="00DF3324"/>
    <w:rsid w:val="00DF7505"/>
    <w:rsid w:val="00DF7EF2"/>
    <w:rsid w:val="00E10456"/>
    <w:rsid w:val="00E152B6"/>
    <w:rsid w:val="00E17D75"/>
    <w:rsid w:val="00E25120"/>
    <w:rsid w:val="00E2580D"/>
    <w:rsid w:val="00E36932"/>
    <w:rsid w:val="00E4224C"/>
    <w:rsid w:val="00E43A2F"/>
    <w:rsid w:val="00E53FEA"/>
    <w:rsid w:val="00E544A8"/>
    <w:rsid w:val="00E545D8"/>
    <w:rsid w:val="00E55054"/>
    <w:rsid w:val="00E656AA"/>
    <w:rsid w:val="00E75EA6"/>
    <w:rsid w:val="00E8507B"/>
    <w:rsid w:val="00E87808"/>
    <w:rsid w:val="00E914F4"/>
    <w:rsid w:val="00EA07FE"/>
    <w:rsid w:val="00EA0906"/>
    <w:rsid w:val="00EA30E4"/>
    <w:rsid w:val="00EA55D6"/>
    <w:rsid w:val="00EB02A2"/>
    <w:rsid w:val="00EB6116"/>
    <w:rsid w:val="00EB63A5"/>
    <w:rsid w:val="00EC3778"/>
    <w:rsid w:val="00EC4BBC"/>
    <w:rsid w:val="00EC775D"/>
    <w:rsid w:val="00ED3716"/>
    <w:rsid w:val="00ED3E0F"/>
    <w:rsid w:val="00ED5F5C"/>
    <w:rsid w:val="00ED60E2"/>
    <w:rsid w:val="00EE2B15"/>
    <w:rsid w:val="00EE5DEE"/>
    <w:rsid w:val="00EE725C"/>
    <w:rsid w:val="00EF1370"/>
    <w:rsid w:val="00EF2E63"/>
    <w:rsid w:val="00EF367D"/>
    <w:rsid w:val="00EF72ED"/>
    <w:rsid w:val="00EF788C"/>
    <w:rsid w:val="00F00533"/>
    <w:rsid w:val="00F01711"/>
    <w:rsid w:val="00F01C7D"/>
    <w:rsid w:val="00F044D8"/>
    <w:rsid w:val="00F10C51"/>
    <w:rsid w:val="00F116C1"/>
    <w:rsid w:val="00F151D7"/>
    <w:rsid w:val="00F208EF"/>
    <w:rsid w:val="00F21698"/>
    <w:rsid w:val="00F23C5E"/>
    <w:rsid w:val="00F26E22"/>
    <w:rsid w:val="00F3076E"/>
    <w:rsid w:val="00F30896"/>
    <w:rsid w:val="00F3179C"/>
    <w:rsid w:val="00F32340"/>
    <w:rsid w:val="00F35200"/>
    <w:rsid w:val="00F37740"/>
    <w:rsid w:val="00F41AEF"/>
    <w:rsid w:val="00F50F64"/>
    <w:rsid w:val="00F512C5"/>
    <w:rsid w:val="00F515E6"/>
    <w:rsid w:val="00F612AB"/>
    <w:rsid w:val="00F6360C"/>
    <w:rsid w:val="00F65E7F"/>
    <w:rsid w:val="00F66CD9"/>
    <w:rsid w:val="00F72573"/>
    <w:rsid w:val="00F81993"/>
    <w:rsid w:val="00F85862"/>
    <w:rsid w:val="00F85E18"/>
    <w:rsid w:val="00F87DD2"/>
    <w:rsid w:val="00F92173"/>
    <w:rsid w:val="00F92FF6"/>
    <w:rsid w:val="00F9549F"/>
    <w:rsid w:val="00F95F2F"/>
    <w:rsid w:val="00FB7467"/>
    <w:rsid w:val="00FB794E"/>
    <w:rsid w:val="00FC3ECD"/>
    <w:rsid w:val="00FD03DE"/>
    <w:rsid w:val="00FD3B15"/>
    <w:rsid w:val="00FD5C85"/>
    <w:rsid w:val="00FE0C5A"/>
    <w:rsid w:val="00FE17FD"/>
    <w:rsid w:val="00FE1E14"/>
    <w:rsid w:val="00FE1F11"/>
    <w:rsid w:val="00FE32E7"/>
    <w:rsid w:val="00FE39A4"/>
    <w:rsid w:val="00FE543B"/>
    <w:rsid w:val="00FE5601"/>
    <w:rsid w:val="00FF22F4"/>
    <w:rsid w:val="00FF3B06"/>
    <w:rsid w:val="00FF499B"/>
    <w:rsid w:val="00FF78BF"/>
    <w:rsid w:val="01853181"/>
    <w:rsid w:val="0204742C"/>
    <w:rsid w:val="020A478E"/>
    <w:rsid w:val="02F81286"/>
    <w:rsid w:val="030565CB"/>
    <w:rsid w:val="03EA2651"/>
    <w:rsid w:val="04082138"/>
    <w:rsid w:val="068B2194"/>
    <w:rsid w:val="0848527A"/>
    <w:rsid w:val="0865499C"/>
    <w:rsid w:val="090E6DE2"/>
    <w:rsid w:val="093A43A9"/>
    <w:rsid w:val="09D46E17"/>
    <w:rsid w:val="0A3B7763"/>
    <w:rsid w:val="0A456833"/>
    <w:rsid w:val="0B6E3B68"/>
    <w:rsid w:val="0DDF08EE"/>
    <w:rsid w:val="0EC50AB9"/>
    <w:rsid w:val="0EDB2EC2"/>
    <w:rsid w:val="0FDB04CA"/>
    <w:rsid w:val="11C10E95"/>
    <w:rsid w:val="121C4E44"/>
    <w:rsid w:val="13F93EE2"/>
    <w:rsid w:val="15747FCD"/>
    <w:rsid w:val="19841664"/>
    <w:rsid w:val="1A136CEF"/>
    <w:rsid w:val="1A3E7564"/>
    <w:rsid w:val="1AC63078"/>
    <w:rsid w:val="1B716318"/>
    <w:rsid w:val="1CF6572F"/>
    <w:rsid w:val="1F570C7D"/>
    <w:rsid w:val="1FED10A7"/>
    <w:rsid w:val="203E7D18"/>
    <w:rsid w:val="20414D87"/>
    <w:rsid w:val="23487A59"/>
    <w:rsid w:val="26D266CC"/>
    <w:rsid w:val="26E220CE"/>
    <w:rsid w:val="274A2CD9"/>
    <w:rsid w:val="2C843AF6"/>
    <w:rsid w:val="30076F83"/>
    <w:rsid w:val="3096737E"/>
    <w:rsid w:val="30FE57D4"/>
    <w:rsid w:val="36886860"/>
    <w:rsid w:val="37DE16F4"/>
    <w:rsid w:val="3D2959BD"/>
    <w:rsid w:val="3D9A38A0"/>
    <w:rsid w:val="404623E2"/>
    <w:rsid w:val="42882B64"/>
    <w:rsid w:val="439B47F3"/>
    <w:rsid w:val="444A545C"/>
    <w:rsid w:val="47840D55"/>
    <w:rsid w:val="489F7160"/>
    <w:rsid w:val="4B09298A"/>
    <w:rsid w:val="4C1930A0"/>
    <w:rsid w:val="4D0553D3"/>
    <w:rsid w:val="4ED4505D"/>
    <w:rsid w:val="50212524"/>
    <w:rsid w:val="506D24D2"/>
    <w:rsid w:val="520C5AA8"/>
    <w:rsid w:val="5495528E"/>
    <w:rsid w:val="549D32F5"/>
    <w:rsid w:val="54C6369A"/>
    <w:rsid w:val="56E16787"/>
    <w:rsid w:val="56F36300"/>
    <w:rsid w:val="5BA56A82"/>
    <w:rsid w:val="5D25425F"/>
    <w:rsid w:val="5D83481E"/>
    <w:rsid w:val="60763EB2"/>
    <w:rsid w:val="60E945D9"/>
    <w:rsid w:val="610D37B6"/>
    <w:rsid w:val="65010502"/>
    <w:rsid w:val="662B51DE"/>
    <w:rsid w:val="69325074"/>
    <w:rsid w:val="6A5F5CCB"/>
    <w:rsid w:val="6A7D3CD5"/>
    <w:rsid w:val="6C09217C"/>
    <w:rsid w:val="6D7970F2"/>
    <w:rsid w:val="782567A5"/>
    <w:rsid w:val="793547C6"/>
    <w:rsid w:val="794A260E"/>
    <w:rsid w:val="7A325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0" w:semiHidden="0" w:name="header"/>
    <w:lsdException w:qFormat="1" w:uiPriority="99" w:semiHidden="0" w:name="footer"/>
    <w:lsdException w:qFormat="1" w:unhideWhenUsed="0" w:uiPriority="0"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name="macro"/>
    <w:lsdException w:uiPriority="99" w:name="toa heading"/>
    <w:lsdException w:qFormat="1" w:unhideWhenUsed="0" w:uiPriority="0" w:semiHidden="0"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qFormat="1" w:unhideWhenUsed="0" w:uiPriority="0" w:semiHidden="0" w:name="Salutation"/>
    <w:lsdException w:qFormat="1" w:unhideWhenUsed="0" w:uiPriority="0" w:semiHidden="0" w:name="Date"/>
    <w:lsdException w:qFormat="1" w:uiPriority="0" w:semiHidden="0" w:name="Body Text First Indent"/>
    <w:lsdException w:uiPriority="99"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line="360" w:lineRule="auto"/>
      <w:ind w:firstLine="560" w:firstLineChars="200"/>
      <w:jc w:val="both"/>
    </w:pPr>
    <w:rPr>
      <w:rFonts w:ascii="Times New Roman" w:hAnsi="Times New Roman" w:eastAsia="宋体" w:cs="Times New Roman"/>
      <w:snapToGrid w:val="0"/>
      <w:color w:val="000000"/>
      <w:sz w:val="28"/>
      <w:szCs w:val="28"/>
      <w:lang w:val="en-US" w:eastAsia="zh-CN" w:bidi="ar-SA"/>
    </w:rPr>
  </w:style>
  <w:style w:type="paragraph" w:styleId="3">
    <w:name w:val="heading 1"/>
    <w:basedOn w:val="1"/>
    <w:next w:val="1"/>
    <w:link w:val="97"/>
    <w:qFormat/>
    <w:uiPriority w:val="0"/>
    <w:pPr>
      <w:keepNext/>
      <w:keepLines/>
      <w:numPr>
        <w:ilvl w:val="0"/>
        <w:numId w:val="1"/>
      </w:numPr>
      <w:suppressAutoHyphens/>
      <w:ind w:firstLineChars="0"/>
      <w:jc w:val="center"/>
      <w:outlineLvl w:val="0"/>
    </w:pPr>
    <w:rPr>
      <w:rFonts w:ascii="Times New Roman" w:hAnsi="Times New Roman" w:eastAsia="宋体"/>
      <w:b/>
      <w:bCs/>
      <w:color w:val="000000" w:themeColor="text1"/>
      <w:sz w:val="36"/>
      <w:szCs w:val="44"/>
      <w14:textFill>
        <w14:solidFill>
          <w14:schemeClr w14:val="tx1"/>
        </w14:solidFill>
      </w14:textFill>
    </w:rPr>
  </w:style>
  <w:style w:type="paragraph" w:styleId="4">
    <w:name w:val="heading 2"/>
    <w:basedOn w:val="1"/>
    <w:next w:val="1"/>
    <w:link w:val="67"/>
    <w:unhideWhenUsed/>
    <w:qFormat/>
    <w:uiPriority w:val="0"/>
    <w:pPr>
      <w:keepNext/>
      <w:keepLines/>
      <w:numPr>
        <w:ilvl w:val="1"/>
        <w:numId w:val="1"/>
      </w:numPr>
      <w:ind w:left="0" w:firstLineChars="0"/>
      <w:outlineLvl w:val="1"/>
    </w:pPr>
    <w:rPr>
      <w:rFonts w:cstheme="majorBidi"/>
      <w:b/>
      <w:bCs/>
      <w:color w:val="000000" w:themeColor="text1"/>
      <w:sz w:val="32"/>
      <w:szCs w:val="36"/>
      <w14:textFill>
        <w14:solidFill>
          <w14:schemeClr w14:val="tx1"/>
        </w14:solidFill>
      </w14:textFill>
    </w:rPr>
  </w:style>
  <w:style w:type="paragraph" w:styleId="5">
    <w:name w:val="heading 3"/>
    <w:basedOn w:val="1"/>
    <w:next w:val="1"/>
    <w:link w:val="82"/>
    <w:unhideWhenUsed/>
    <w:qFormat/>
    <w:uiPriority w:val="0"/>
    <w:pPr>
      <w:keepNext/>
      <w:keepLines/>
      <w:numPr>
        <w:ilvl w:val="2"/>
        <w:numId w:val="1"/>
      </w:numPr>
      <w:adjustRightInd w:val="0"/>
      <w:ind w:left="0" w:firstLineChars="0"/>
      <w:outlineLvl w:val="2"/>
    </w:pPr>
    <w:rPr>
      <w:b/>
      <w:bCs/>
      <w:color w:val="000000" w:themeColor="text1"/>
      <w:sz w:val="30"/>
      <w:szCs w:val="20"/>
      <w14:textFill>
        <w14:solidFill>
          <w14:schemeClr w14:val="tx1"/>
        </w14:solidFill>
      </w14:textFill>
    </w:rPr>
  </w:style>
  <w:style w:type="paragraph" w:styleId="6">
    <w:name w:val="heading 4"/>
    <w:basedOn w:val="1"/>
    <w:next w:val="1"/>
    <w:link w:val="83"/>
    <w:qFormat/>
    <w:uiPriority w:val="0"/>
    <w:pPr>
      <w:keepNext/>
      <w:numPr>
        <w:ilvl w:val="3"/>
        <w:numId w:val="1"/>
      </w:numPr>
      <w:adjustRightInd w:val="0"/>
      <w:ind w:firstLineChars="0"/>
      <w:outlineLvl w:val="3"/>
    </w:pPr>
    <w:rPr>
      <w:b/>
      <w:bCs/>
    </w:rPr>
  </w:style>
  <w:style w:type="paragraph" w:styleId="7">
    <w:name w:val="heading 5"/>
    <w:basedOn w:val="1"/>
    <w:next w:val="1"/>
    <w:link w:val="109"/>
    <w:qFormat/>
    <w:uiPriority w:val="0"/>
    <w:pPr>
      <w:keepNext/>
      <w:widowControl/>
      <w:ind w:right="-108"/>
      <w:jc w:val="center"/>
      <w:outlineLvl w:val="4"/>
    </w:pPr>
    <w:rPr>
      <w:rFonts w:hint="eastAsia" w:ascii="宋体" w:hAnsi="宋体"/>
      <w:b/>
      <w:bCs/>
    </w:rPr>
  </w:style>
  <w:style w:type="paragraph" w:styleId="8">
    <w:name w:val="heading 6"/>
    <w:basedOn w:val="1"/>
    <w:next w:val="1"/>
    <w:link w:val="110"/>
    <w:qFormat/>
    <w:uiPriority w:val="0"/>
    <w:pPr>
      <w:keepNext/>
      <w:jc w:val="center"/>
      <w:outlineLvl w:val="5"/>
    </w:pPr>
    <w:rPr>
      <w:rFonts w:ascii="仿宋_GB2312" w:eastAsia="仿宋_GB2312"/>
    </w:rPr>
  </w:style>
  <w:style w:type="paragraph" w:styleId="9">
    <w:name w:val="heading 7"/>
    <w:basedOn w:val="1"/>
    <w:next w:val="1"/>
    <w:link w:val="111"/>
    <w:qFormat/>
    <w:uiPriority w:val="0"/>
    <w:pPr>
      <w:keepNext/>
      <w:topLinePunct/>
      <w:adjustRightInd w:val="0"/>
      <w:jc w:val="center"/>
      <w:outlineLvl w:val="6"/>
    </w:pPr>
    <w:rPr>
      <w:b/>
      <w:bCs/>
    </w:rPr>
  </w:style>
  <w:style w:type="paragraph" w:styleId="10">
    <w:name w:val="heading 8"/>
    <w:basedOn w:val="1"/>
    <w:next w:val="1"/>
    <w:link w:val="112"/>
    <w:qFormat/>
    <w:uiPriority w:val="0"/>
    <w:pPr>
      <w:keepNext/>
      <w:jc w:val="center"/>
      <w:outlineLvl w:val="7"/>
    </w:pPr>
    <w:rPr>
      <w:b/>
      <w:bCs/>
    </w:rPr>
  </w:style>
  <w:style w:type="paragraph" w:styleId="11">
    <w:name w:val="heading 9"/>
    <w:basedOn w:val="1"/>
    <w:next w:val="1"/>
    <w:link w:val="113"/>
    <w:qFormat/>
    <w:uiPriority w:val="0"/>
    <w:pPr>
      <w:keepNext/>
      <w:keepLines/>
      <w:spacing w:before="240" w:after="64" w:line="320" w:lineRule="auto"/>
      <w:outlineLvl w:val="8"/>
    </w:pPr>
    <w:rPr>
      <w:rFonts w:ascii="Arial" w:hAnsi="Arial" w:eastAsia="黑体"/>
      <w:snapToGrid/>
      <w:kern w:val="2"/>
      <w:sz w:val="21"/>
      <w:szCs w:val="21"/>
    </w:rPr>
  </w:style>
  <w:style w:type="character" w:default="1" w:styleId="59">
    <w:name w:val="Default Paragraph Font"/>
    <w:semiHidden/>
    <w:unhideWhenUsed/>
    <w:qFormat/>
    <w:uiPriority w:val="1"/>
  </w:style>
  <w:style w:type="table" w:default="1" w:styleId="57">
    <w:name w:val="Normal Table"/>
    <w:semiHidden/>
    <w:unhideWhenUsed/>
    <w:qFormat/>
    <w:uiPriority w:val="99"/>
    <w:tblPr>
      <w:tblCellMar>
        <w:top w:w="0" w:type="dxa"/>
        <w:left w:w="108" w:type="dxa"/>
        <w:bottom w:w="0" w:type="dxa"/>
        <w:right w:w="108" w:type="dxa"/>
      </w:tblCellMar>
    </w:tblPr>
  </w:style>
  <w:style w:type="paragraph" w:styleId="2">
    <w:name w:val="macro"/>
    <w:link w:val="114"/>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snapToGrid w:val="0"/>
      <w:sz w:val="24"/>
      <w:szCs w:val="24"/>
      <w:lang w:val="en-US" w:eastAsia="zh-CN" w:bidi="ar-SA"/>
    </w:rPr>
  </w:style>
  <w:style w:type="paragraph" w:styleId="12">
    <w:name w:val="toc 7"/>
    <w:basedOn w:val="1"/>
    <w:next w:val="1"/>
    <w:qFormat/>
    <w:uiPriority w:val="39"/>
    <w:pPr>
      <w:ind w:left="1200"/>
      <w:jc w:val="left"/>
    </w:pPr>
    <w:rPr>
      <w:sz w:val="20"/>
      <w:szCs w:val="20"/>
    </w:rPr>
  </w:style>
  <w:style w:type="paragraph" w:styleId="13">
    <w:name w:val="List Number 2"/>
    <w:basedOn w:val="1"/>
    <w:qFormat/>
    <w:uiPriority w:val="0"/>
    <w:pPr>
      <w:numPr>
        <w:ilvl w:val="0"/>
        <w:numId w:val="2"/>
      </w:numPr>
      <w:tabs>
        <w:tab w:val="left" w:pos="900"/>
        <w:tab w:val="left" w:pos="1963"/>
      </w:tabs>
    </w:pPr>
  </w:style>
  <w:style w:type="paragraph" w:styleId="14">
    <w:name w:val="Note Heading"/>
    <w:basedOn w:val="1"/>
    <w:next w:val="1"/>
    <w:link w:val="115"/>
    <w:qFormat/>
    <w:uiPriority w:val="0"/>
    <w:pPr>
      <w:widowControl/>
      <w:spacing w:before="100" w:beforeAutospacing="1" w:after="100" w:afterAutospacing="1"/>
      <w:jc w:val="left"/>
    </w:pPr>
    <w:rPr>
      <w:rFonts w:hint="eastAsia" w:ascii="宋体" w:hAnsi="宋体"/>
      <w:snapToGrid/>
    </w:rPr>
  </w:style>
  <w:style w:type="paragraph" w:styleId="15">
    <w:name w:val="index 8"/>
    <w:basedOn w:val="1"/>
    <w:next w:val="1"/>
    <w:semiHidden/>
    <w:qFormat/>
    <w:uiPriority w:val="0"/>
    <w:pPr>
      <w:ind w:left="1400" w:leftChars="1400"/>
    </w:pPr>
  </w:style>
  <w:style w:type="paragraph" w:styleId="16">
    <w:name w:val="List Number"/>
    <w:basedOn w:val="1"/>
    <w:qFormat/>
    <w:uiPriority w:val="0"/>
    <w:pPr>
      <w:tabs>
        <w:tab w:val="left" w:pos="0"/>
      </w:tabs>
      <w:jc w:val="center"/>
    </w:pPr>
    <w:rPr>
      <w:rFonts w:eastAsia="仿宋_GB2312"/>
      <w:snapToGrid/>
      <w:kern w:val="2"/>
    </w:rPr>
  </w:style>
  <w:style w:type="paragraph" w:styleId="17">
    <w:name w:val="Normal Indent"/>
    <w:basedOn w:val="1"/>
    <w:link w:val="263"/>
    <w:qFormat/>
    <w:uiPriority w:val="0"/>
    <w:pPr>
      <w:widowControl/>
      <w:ind w:firstLine="420"/>
      <w:jc w:val="left"/>
    </w:pPr>
    <w:rPr>
      <w:snapToGrid/>
      <w:sz w:val="20"/>
      <w:szCs w:val="20"/>
    </w:rPr>
  </w:style>
  <w:style w:type="paragraph" w:styleId="18">
    <w:name w:val="caption"/>
    <w:basedOn w:val="1"/>
    <w:next w:val="1"/>
    <w:unhideWhenUsed/>
    <w:qFormat/>
    <w:uiPriority w:val="35"/>
    <w:pPr>
      <w:ind w:firstLine="0" w:firstLineChars="0"/>
      <w:jc w:val="center"/>
    </w:pPr>
    <w:rPr>
      <w:rFonts w:cstheme="majorBidi"/>
      <w:b/>
      <w:sz w:val="24"/>
      <w:szCs w:val="20"/>
    </w:rPr>
  </w:style>
  <w:style w:type="paragraph" w:styleId="19">
    <w:name w:val="index 5"/>
    <w:basedOn w:val="1"/>
    <w:next w:val="1"/>
    <w:semiHidden/>
    <w:qFormat/>
    <w:uiPriority w:val="0"/>
    <w:pPr>
      <w:ind w:left="800" w:leftChars="800"/>
    </w:pPr>
  </w:style>
  <w:style w:type="paragraph" w:styleId="20">
    <w:name w:val="Document Map"/>
    <w:basedOn w:val="1"/>
    <w:link w:val="116"/>
    <w:semiHidden/>
    <w:qFormat/>
    <w:uiPriority w:val="0"/>
    <w:pPr>
      <w:shd w:val="clear" w:color="auto" w:fill="000080"/>
    </w:pPr>
  </w:style>
  <w:style w:type="paragraph" w:styleId="21">
    <w:name w:val="annotation text"/>
    <w:basedOn w:val="1"/>
    <w:link w:val="117"/>
    <w:qFormat/>
    <w:uiPriority w:val="99"/>
    <w:pPr>
      <w:jc w:val="left"/>
    </w:pPr>
  </w:style>
  <w:style w:type="paragraph" w:styleId="22">
    <w:name w:val="index 6"/>
    <w:basedOn w:val="1"/>
    <w:next w:val="1"/>
    <w:semiHidden/>
    <w:qFormat/>
    <w:uiPriority w:val="0"/>
    <w:pPr>
      <w:ind w:left="1000" w:leftChars="1000"/>
    </w:pPr>
  </w:style>
  <w:style w:type="paragraph" w:styleId="23">
    <w:name w:val="Salutation"/>
    <w:basedOn w:val="1"/>
    <w:next w:val="1"/>
    <w:link w:val="118"/>
    <w:qFormat/>
    <w:uiPriority w:val="0"/>
    <w:rPr>
      <w:rFonts w:ascii="仿宋_GB2312" w:eastAsia="仿宋_GB2312"/>
      <w:snapToGrid/>
      <w:kern w:val="2"/>
      <w:sz w:val="32"/>
    </w:rPr>
  </w:style>
  <w:style w:type="paragraph" w:styleId="24">
    <w:name w:val="Body Text 3"/>
    <w:basedOn w:val="1"/>
    <w:link w:val="119"/>
    <w:qFormat/>
    <w:uiPriority w:val="0"/>
    <w:pPr>
      <w:spacing w:line="240" w:lineRule="exact"/>
    </w:pPr>
    <w:rPr>
      <w:snapToGrid/>
      <w:kern w:val="2"/>
      <w:sz w:val="16"/>
    </w:rPr>
  </w:style>
  <w:style w:type="paragraph" w:styleId="25">
    <w:name w:val="Body Text"/>
    <w:basedOn w:val="1"/>
    <w:link w:val="98"/>
    <w:unhideWhenUsed/>
    <w:qFormat/>
    <w:uiPriority w:val="0"/>
    <w:pPr>
      <w:spacing w:after="120"/>
    </w:pPr>
  </w:style>
  <w:style w:type="paragraph" w:styleId="26">
    <w:name w:val="Body Text Indent"/>
    <w:basedOn w:val="1"/>
    <w:link w:val="120"/>
    <w:qFormat/>
    <w:uiPriority w:val="0"/>
    <w:pPr>
      <w:widowControl/>
      <w:suppressAutoHyphens/>
      <w:adjustRightInd w:val="0"/>
      <w:spacing w:line="500" w:lineRule="atLeast"/>
      <w:ind w:firstLine="200"/>
    </w:pPr>
  </w:style>
  <w:style w:type="paragraph" w:styleId="27">
    <w:name w:val="Block Text"/>
    <w:basedOn w:val="1"/>
    <w:qFormat/>
    <w:uiPriority w:val="0"/>
    <w:pPr>
      <w:spacing w:line="180" w:lineRule="auto"/>
      <w:ind w:left="-540" w:leftChars="-257" w:right="260" w:rightChars="124" w:firstLine="540"/>
    </w:pPr>
    <w:rPr>
      <w:rFonts w:ascii="宋体" w:hAnsi="宋体"/>
      <w:smallCaps/>
      <w:snapToGrid/>
      <w:kern w:val="2"/>
    </w:rPr>
  </w:style>
  <w:style w:type="paragraph" w:styleId="28">
    <w:name w:val="index 4"/>
    <w:basedOn w:val="1"/>
    <w:next w:val="1"/>
    <w:semiHidden/>
    <w:qFormat/>
    <w:uiPriority w:val="0"/>
    <w:pPr>
      <w:ind w:left="600" w:leftChars="600"/>
    </w:pPr>
  </w:style>
  <w:style w:type="paragraph" w:styleId="29">
    <w:name w:val="toc 5"/>
    <w:basedOn w:val="1"/>
    <w:next w:val="1"/>
    <w:qFormat/>
    <w:uiPriority w:val="39"/>
    <w:pPr>
      <w:ind w:left="720"/>
      <w:jc w:val="left"/>
    </w:pPr>
    <w:rPr>
      <w:sz w:val="20"/>
      <w:szCs w:val="20"/>
    </w:rPr>
  </w:style>
  <w:style w:type="paragraph" w:styleId="30">
    <w:name w:val="toc 3"/>
    <w:basedOn w:val="1"/>
    <w:next w:val="1"/>
    <w:qFormat/>
    <w:uiPriority w:val="39"/>
    <w:pPr>
      <w:ind w:firstLine="200"/>
      <w:jc w:val="left"/>
    </w:pPr>
    <w:rPr>
      <w:szCs w:val="20"/>
    </w:rPr>
  </w:style>
  <w:style w:type="paragraph" w:styleId="31">
    <w:name w:val="Plain Text"/>
    <w:basedOn w:val="1"/>
    <w:link w:val="121"/>
    <w:qFormat/>
    <w:uiPriority w:val="0"/>
    <w:rPr>
      <w:rFonts w:ascii="宋体" w:hAnsi="Courier New"/>
      <w:snapToGrid/>
      <w:kern w:val="2"/>
      <w:sz w:val="21"/>
      <w:szCs w:val="20"/>
    </w:rPr>
  </w:style>
  <w:style w:type="paragraph" w:styleId="32">
    <w:name w:val="toc 8"/>
    <w:basedOn w:val="1"/>
    <w:next w:val="1"/>
    <w:qFormat/>
    <w:uiPriority w:val="39"/>
    <w:pPr>
      <w:ind w:left="1440"/>
      <w:jc w:val="left"/>
    </w:pPr>
    <w:rPr>
      <w:sz w:val="20"/>
      <w:szCs w:val="20"/>
    </w:rPr>
  </w:style>
  <w:style w:type="paragraph" w:styleId="33">
    <w:name w:val="index 3"/>
    <w:basedOn w:val="1"/>
    <w:next w:val="1"/>
    <w:semiHidden/>
    <w:qFormat/>
    <w:uiPriority w:val="0"/>
    <w:pPr>
      <w:ind w:left="400" w:leftChars="400"/>
    </w:pPr>
  </w:style>
  <w:style w:type="paragraph" w:styleId="34">
    <w:name w:val="Date"/>
    <w:basedOn w:val="1"/>
    <w:next w:val="1"/>
    <w:link w:val="122"/>
    <w:qFormat/>
    <w:uiPriority w:val="0"/>
    <w:rPr>
      <w:rFonts w:ascii="宋体"/>
      <w:szCs w:val="20"/>
    </w:rPr>
  </w:style>
  <w:style w:type="paragraph" w:styleId="35">
    <w:name w:val="Body Text Indent 2"/>
    <w:basedOn w:val="1"/>
    <w:link w:val="123"/>
    <w:qFormat/>
    <w:uiPriority w:val="0"/>
    <w:pPr>
      <w:ind w:firstLine="480"/>
      <w:jc w:val="left"/>
    </w:pPr>
  </w:style>
  <w:style w:type="paragraph" w:styleId="36">
    <w:name w:val="Balloon Text"/>
    <w:basedOn w:val="1"/>
    <w:link w:val="124"/>
    <w:semiHidden/>
    <w:qFormat/>
    <w:uiPriority w:val="0"/>
    <w:rPr>
      <w:snapToGrid/>
      <w:kern w:val="2"/>
      <w:sz w:val="18"/>
      <w:szCs w:val="18"/>
    </w:rPr>
  </w:style>
  <w:style w:type="paragraph" w:styleId="37">
    <w:name w:val="footer"/>
    <w:basedOn w:val="1"/>
    <w:link w:val="96"/>
    <w:unhideWhenUsed/>
    <w:qFormat/>
    <w:uiPriority w:val="99"/>
    <w:pPr>
      <w:tabs>
        <w:tab w:val="center" w:pos="4153"/>
        <w:tab w:val="right" w:pos="8306"/>
      </w:tabs>
      <w:jc w:val="left"/>
    </w:pPr>
    <w:rPr>
      <w:sz w:val="18"/>
      <w:szCs w:val="18"/>
    </w:rPr>
  </w:style>
  <w:style w:type="paragraph" w:styleId="38">
    <w:name w:val="header"/>
    <w:basedOn w:val="1"/>
    <w:link w:val="80"/>
    <w:unhideWhenUsed/>
    <w:qFormat/>
    <w:uiPriority w:val="0"/>
    <w:pPr>
      <w:pBdr>
        <w:bottom w:val="single" w:color="auto" w:sz="6" w:space="1"/>
      </w:pBdr>
      <w:tabs>
        <w:tab w:val="center" w:pos="4153"/>
        <w:tab w:val="right" w:pos="8306"/>
      </w:tabs>
      <w:jc w:val="center"/>
    </w:pPr>
    <w:rPr>
      <w:sz w:val="18"/>
      <w:szCs w:val="18"/>
    </w:rPr>
  </w:style>
  <w:style w:type="paragraph" w:styleId="39">
    <w:name w:val="toc 1"/>
    <w:basedOn w:val="1"/>
    <w:next w:val="1"/>
    <w:qFormat/>
    <w:uiPriority w:val="39"/>
    <w:pPr>
      <w:ind w:firstLine="0" w:firstLineChars="0"/>
      <w:jc w:val="left"/>
    </w:pPr>
    <w:rPr>
      <w:rFonts w:ascii="Arial" w:hAnsi="Arial" w:cs="Arial"/>
      <w:b/>
      <w:bCs/>
      <w:caps/>
    </w:rPr>
  </w:style>
  <w:style w:type="paragraph" w:styleId="40">
    <w:name w:val="toc 4"/>
    <w:basedOn w:val="1"/>
    <w:next w:val="1"/>
    <w:qFormat/>
    <w:uiPriority w:val="39"/>
    <w:pPr>
      <w:ind w:left="480"/>
      <w:jc w:val="left"/>
    </w:pPr>
    <w:rPr>
      <w:sz w:val="20"/>
      <w:szCs w:val="20"/>
    </w:rPr>
  </w:style>
  <w:style w:type="paragraph" w:styleId="41">
    <w:name w:val="index heading"/>
    <w:basedOn w:val="1"/>
    <w:next w:val="42"/>
    <w:semiHidden/>
    <w:qFormat/>
    <w:uiPriority w:val="0"/>
  </w:style>
  <w:style w:type="paragraph" w:styleId="42">
    <w:name w:val="index 1"/>
    <w:basedOn w:val="1"/>
    <w:next w:val="1"/>
    <w:semiHidden/>
    <w:unhideWhenUsed/>
    <w:qFormat/>
    <w:uiPriority w:val="0"/>
  </w:style>
  <w:style w:type="paragraph" w:styleId="43">
    <w:name w:val="List"/>
    <w:basedOn w:val="1"/>
    <w:qFormat/>
    <w:uiPriority w:val="0"/>
    <w:pPr>
      <w:widowControl/>
      <w:overflowPunct w:val="0"/>
      <w:autoSpaceDE w:val="0"/>
      <w:autoSpaceDN w:val="0"/>
      <w:adjustRightInd w:val="0"/>
      <w:jc w:val="center"/>
      <w:textAlignment w:val="baseline"/>
    </w:pPr>
    <w:rPr>
      <w:snapToGrid/>
      <w:sz w:val="21"/>
      <w:szCs w:val="20"/>
      <w:lang w:val="en-GB"/>
    </w:rPr>
  </w:style>
  <w:style w:type="paragraph" w:styleId="44">
    <w:name w:val="toc 6"/>
    <w:basedOn w:val="1"/>
    <w:next w:val="1"/>
    <w:qFormat/>
    <w:uiPriority w:val="39"/>
    <w:pPr>
      <w:ind w:left="960"/>
      <w:jc w:val="left"/>
    </w:pPr>
    <w:rPr>
      <w:sz w:val="20"/>
      <w:szCs w:val="20"/>
    </w:rPr>
  </w:style>
  <w:style w:type="paragraph" w:styleId="45">
    <w:name w:val="Body Text Indent 3"/>
    <w:basedOn w:val="1"/>
    <w:link w:val="125"/>
    <w:qFormat/>
    <w:uiPriority w:val="0"/>
    <w:pPr>
      <w:adjustRightInd w:val="0"/>
      <w:spacing w:line="500" w:lineRule="atLeast"/>
      <w:ind w:firstLine="480"/>
    </w:pPr>
  </w:style>
  <w:style w:type="paragraph" w:styleId="46">
    <w:name w:val="index 7"/>
    <w:basedOn w:val="1"/>
    <w:next w:val="1"/>
    <w:semiHidden/>
    <w:qFormat/>
    <w:uiPriority w:val="0"/>
    <w:pPr>
      <w:ind w:left="1200" w:leftChars="1200"/>
    </w:pPr>
  </w:style>
  <w:style w:type="paragraph" w:styleId="47">
    <w:name w:val="index 9"/>
    <w:basedOn w:val="1"/>
    <w:next w:val="1"/>
    <w:semiHidden/>
    <w:qFormat/>
    <w:uiPriority w:val="0"/>
    <w:pPr>
      <w:ind w:left="1600" w:leftChars="1600"/>
    </w:pPr>
  </w:style>
  <w:style w:type="paragraph" w:styleId="48">
    <w:name w:val="toc 2"/>
    <w:basedOn w:val="1"/>
    <w:next w:val="1"/>
    <w:qFormat/>
    <w:uiPriority w:val="39"/>
    <w:pPr>
      <w:ind w:firstLine="100" w:firstLineChars="100"/>
      <w:jc w:val="left"/>
    </w:pPr>
    <w:rPr>
      <w:bCs/>
      <w:szCs w:val="20"/>
    </w:rPr>
  </w:style>
  <w:style w:type="paragraph" w:styleId="49">
    <w:name w:val="toc 9"/>
    <w:basedOn w:val="1"/>
    <w:next w:val="1"/>
    <w:qFormat/>
    <w:uiPriority w:val="39"/>
    <w:pPr>
      <w:ind w:left="1680"/>
      <w:jc w:val="left"/>
    </w:pPr>
    <w:rPr>
      <w:sz w:val="20"/>
      <w:szCs w:val="20"/>
    </w:rPr>
  </w:style>
  <w:style w:type="paragraph" w:styleId="50">
    <w:name w:val="Body Text 2"/>
    <w:basedOn w:val="1"/>
    <w:link w:val="126"/>
    <w:qFormat/>
    <w:uiPriority w:val="0"/>
    <w:pPr>
      <w:adjustRightInd w:val="0"/>
    </w:pPr>
    <w:rPr>
      <w:b/>
      <w:bCs/>
    </w:rPr>
  </w:style>
  <w:style w:type="paragraph" w:styleId="51">
    <w:name w:val="HTML Preformatted"/>
    <w:basedOn w:val="1"/>
    <w:link w:val="259"/>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hint="eastAsia" w:ascii="宋体" w:hAnsi="宋体" w:cs="宋体"/>
      <w:snapToGrid/>
    </w:rPr>
  </w:style>
  <w:style w:type="paragraph" w:styleId="52">
    <w:name w:val="Normal (Web)"/>
    <w:basedOn w:val="1"/>
    <w:qFormat/>
    <w:uiPriority w:val="99"/>
    <w:pPr>
      <w:widowControl/>
      <w:spacing w:before="100" w:beforeAutospacing="1" w:after="100" w:afterAutospacing="1"/>
      <w:jc w:val="left"/>
    </w:pPr>
    <w:rPr>
      <w:rFonts w:ascii="宋体" w:hAnsi="宋体"/>
    </w:rPr>
  </w:style>
  <w:style w:type="paragraph" w:styleId="53">
    <w:name w:val="index 2"/>
    <w:basedOn w:val="1"/>
    <w:next w:val="1"/>
    <w:semiHidden/>
    <w:qFormat/>
    <w:uiPriority w:val="0"/>
    <w:pPr>
      <w:ind w:left="200" w:leftChars="200"/>
    </w:pPr>
  </w:style>
  <w:style w:type="paragraph" w:styleId="54">
    <w:name w:val="Title"/>
    <w:basedOn w:val="1"/>
    <w:link w:val="270"/>
    <w:qFormat/>
    <w:uiPriority w:val="0"/>
    <w:pPr>
      <w:spacing w:before="240" w:after="60" w:line="240" w:lineRule="auto"/>
      <w:jc w:val="center"/>
      <w:outlineLvl w:val="0"/>
    </w:pPr>
    <w:rPr>
      <w:rFonts w:ascii="Arial" w:hAnsi="Arial" w:cs="Arial"/>
      <w:b/>
      <w:bCs/>
      <w:snapToGrid/>
      <w:kern w:val="2"/>
      <w:sz w:val="32"/>
      <w:szCs w:val="32"/>
    </w:rPr>
  </w:style>
  <w:style w:type="paragraph" w:styleId="55">
    <w:name w:val="annotation subject"/>
    <w:basedOn w:val="21"/>
    <w:next w:val="21"/>
    <w:link w:val="127"/>
    <w:semiHidden/>
    <w:qFormat/>
    <w:uiPriority w:val="0"/>
    <w:rPr>
      <w:b/>
      <w:bCs/>
    </w:rPr>
  </w:style>
  <w:style w:type="paragraph" w:styleId="56">
    <w:name w:val="Body Text First Indent"/>
    <w:basedOn w:val="25"/>
    <w:link w:val="99"/>
    <w:unhideWhenUsed/>
    <w:qFormat/>
    <w:uiPriority w:val="0"/>
    <w:pPr>
      <w:ind w:firstLine="420" w:firstLineChars="100"/>
    </w:pPr>
  </w:style>
  <w:style w:type="table" w:styleId="58">
    <w:name w:val="Table Grid"/>
    <w:basedOn w:val="5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0"/>
    <w:rPr>
      <w:b/>
      <w:bCs/>
    </w:rPr>
  </w:style>
  <w:style w:type="character" w:styleId="61">
    <w:name w:val="page number"/>
    <w:qFormat/>
    <w:uiPriority w:val="0"/>
  </w:style>
  <w:style w:type="character" w:styleId="62">
    <w:name w:val="FollowedHyperlink"/>
    <w:qFormat/>
    <w:uiPriority w:val="99"/>
    <w:rPr>
      <w:color w:val="800080"/>
      <w:u w:val="single"/>
    </w:rPr>
  </w:style>
  <w:style w:type="character" w:styleId="63">
    <w:name w:val="Emphasis"/>
    <w:qFormat/>
    <w:uiPriority w:val="0"/>
    <w:rPr>
      <w:color w:val="CC0000"/>
    </w:rPr>
  </w:style>
  <w:style w:type="character" w:styleId="64">
    <w:name w:val="Hyperlink"/>
    <w:qFormat/>
    <w:uiPriority w:val="99"/>
    <w:rPr>
      <w:color w:val="0000FF"/>
      <w:u w:val="single"/>
    </w:rPr>
  </w:style>
  <w:style w:type="character" w:styleId="65">
    <w:name w:val="annotation reference"/>
    <w:qFormat/>
    <w:uiPriority w:val="0"/>
    <w:rPr>
      <w:sz w:val="21"/>
      <w:szCs w:val="21"/>
    </w:rPr>
  </w:style>
  <w:style w:type="character" w:customStyle="1" w:styleId="66">
    <w:name w:val="标题 3 Char"/>
    <w:qFormat/>
    <w:uiPriority w:val="0"/>
    <w:rPr>
      <w:rFonts w:eastAsia="宋体"/>
      <w:b/>
      <w:bCs/>
      <w:kern w:val="2"/>
      <w:sz w:val="32"/>
      <w:szCs w:val="32"/>
      <w:lang w:val="en-US" w:eastAsia="zh-CN" w:bidi="ar-SA"/>
    </w:rPr>
  </w:style>
  <w:style w:type="character" w:customStyle="1" w:styleId="67">
    <w:name w:val="标题 2 字符"/>
    <w:basedOn w:val="59"/>
    <w:link w:val="4"/>
    <w:qFormat/>
    <w:uiPriority w:val="0"/>
    <w:rPr>
      <w:rFonts w:ascii="Times New Roman" w:hAnsi="Times New Roman" w:eastAsia="宋体" w:cstheme="majorBidi"/>
      <w:b/>
      <w:bCs/>
      <w:snapToGrid w:val="0"/>
      <w:color w:val="000000" w:themeColor="text1"/>
      <w:kern w:val="0"/>
      <w:sz w:val="32"/>
      <w:szCs w:val="36"/>
      <w14:textFill>
        <w14:solidFill>
          <w14:schemeClr w14:val="tx1"/>
        </w14:solidFill>
      </w14:textFill>
    </w:rPr>
  </w:style>
  <w:style w:type="paragraph" w:customStyle="1" w:styleId="68">
    <w:name w:val="图名"/>
    <w:basedOn w:val="69"/>
    <w:qFormat/>
    <w:uiPriority w:val="0"/>
    <w:pPr>
      <w:ind w:firstLine="0" w:firstLineChars="0"/>
      <w:jc w:val="center"/>
    </w:pPr>
    <w:rPr>
      <w:rFonts w:eastAsia="Times New Roman"/>
      <w:snapToGrid/>
      <w:kern w:val="2"/>
    </w:rPr>
  </w:style>
  <w:style w:type="paragraph" w:customStyle="1" w:styleId="69">
    <w:name w:val="列出段落1"/>
    <w:basedOn w:val="1"/>
    <w:qFormat/>
    <w:uiPriority w:val="99"/>
    <w:pPr>
      <w:ind w:firstLine="420"/>
    </w:pPr>
  </w:style>
  <w:style w:type="paragraph" w:customStyle="1" w:styleId="70">
    <w:name w:val="表格样式"/>
    <w:basedOn w:val="1"/>
    <w:link w:val="288"/>
    <w:qFormat/>
    <w:uiPriority w:val="0"/>
    <w:pPr>
      <w:spacing w:line="240" w:lineRule="auto"/>
      <w:ind w:firstLine="0" w:firstLineChars="0"/>
    </w:pPr>
    <w:rPr>
      <w:sz w:val="21"/>
    </w:rPr>
  </w:style>
  <w:style w:type="paragraph" w:customStyle="1" w:styleId="71">
    <w:name w:val="2级标题"/>
    <w:basedOn w:val="4"/>
    <w:next w:val="1"/>
    <w:link w:val="282"/>
    <w:qFormat/>
    <w:uiPriority w:val="0"/>
    <w:pPr>
      <w:keepNext w:val="0"/>
      <w:keepLines w:val="0"/>
      <w:adjustRightInd w:val="0"/>
      <w:spacing w:before="160" w:after="156" w:afterLines="50"/>
      <w:jc w:val="left"/>
    </w:pPr>
    <w:rPr>
      <w:rFonts w:cs="Times New Roman"/>
      <w:bCs w:val="0"/>
      <w:smallCaps/>
      <w:snapToGrid/>
      <w:color w:val="auto"/>
      <w:sz w:val="36"/>
    </w:rPr>
  </w:style>
  <w:style w:type="paragraph" w:customStyle="1" w:styleId="72">
    <w:name w:val="3级标题"/>
    <w:basedOn w:val="1"/>
    <w:next w:val="1"/>
    <w:link w:val="100"/>
    <w:qFormat/>
    <w:uiPriority w:val="0"/>
    <w:pPr>
      <w:adjustRightInd w:val="0"/>
      <w:spacing w:before="240" w:after="120" w:line="500" w:lineRule="exact"/>
      <w:outlineLvl w:val="2"/>
    </w:pPr>
    <w:rPr>
      <w:rFonts w:eastAsia="黑体"/>
      <w:b/>
      <w:sz w:val="32"/>
      <w:szCs w:val="32"/>
    </w:rPr>
  </w:style>
  <w:style w:type="paragraph" w:customStyle="1" w:styleId="73">
    <w:name w:val="4级标题"/>
    <w:basedOn w:val="1"/>
    <w:qFormat/>
    <w:uiPriority w:val="0"/>
    <w:pPr>
      <w:spacing w:line="500" w:lineRule="exact"/>
      <w:jc w:val="left"/>
      <w:outlineLvl w:val="3"/>
    </w:pPr>
    <w:rPr>
      <w:rFonts w:eastAsia="黑体"/>
      <w:b/>
      <w:snapToGrid/>
      <w:kern w:val="2"/>
    </w:rPr>
  </w:style>
  <w:style w:type="paragraph" w:customStyle="1" w:styleId="74">
    <w:name w:val="表头"/>
    <w:basedOn w:val="69"/>
    <w:next w:val="1"/>
    <w:link w:val="128"/>
    <w:qFormat/>
    <w:uiPriority w:val="0"/>
    <w:pPr>
      <w:spacing w:before="50" w:beforeLines="50"/>
    </w:pPr>
    <w:rPr>
      <w:rFonts w:eastAsia="黑体"/>
    </w:rPr>
  </w:style>
  <w:style w:type="paragraph" w:customStyle="1" w:styleId="75">
    <w:name w:val="表格标题"/>
    <w:basedOn w:val="1"/>
    <w:next w:val="1"/>
    <w:link w:val="132"/>
    <w:qFormat/>
    <w:uiPriority w:val="99"/>
    <w:pPr>
      <w:keepNext/>
      <w:widowControl/>
      <w:overflowPunct w:val="0"/>
      <w:adjustRightInd w:val="0"/>
      <w:spacing w:before="360" w:after="120" w:line="480" w:lineRule="exact"/>
      <w:jc w:val="center"/>
      <w:textAlignment w:val="baseline"/>
    </w:pPr>
    <w:rPr>
      <w:rFonts w:hint="eastAsia" w:ascii="MingLiU" w:hAnsi="MingLiU" w:eastAsia="MingLiU" w:cstheme="minorBidi"/>
      <w:b/>
      <w:snapToGrid/>
      <w:spacing w:val="10"/>
      <w:kern w:val="2"/>
      <w:sz w:val="23"/>
      <w:szCs w:val="22"/>
    </w:rPr>
  </w:style>
  <w:style w:type="paragraph" w:customStyle="1" w:styleId="76">
    <w:name w:val="WPSOffice手动目录 1"/>
    <w:qFormat/>
    <w:uiPriority w:val="0"/>
    <w:pPr>
      <w:ind w:leftChars="0"/>
    </w:pPr>
    <w:rPr>
      <w:rFonts w:ascii="Times New Roman" w:hAnsi="Times New Roman" w:eastAsia="宋体" w:cs="Times New Roman"/>
      <w:sz w:val="20"/>
      <w:szCs w:val="20"/>
    </w:rPr>
  </w:style>
  <w:style w:type="paragraph" w:customStyle="1" w:styleId="77">
    <w:name w:val="WPSOffice手动目录 2"/>
    <w:qFormat/>
    <w:uiPriority w:val="0"/>
    <w:pPr>
      <w:ind w:leftChars="0" w:firstLine="280" w:firstLineChars="100"/>
    </w:pPr>
    <w:rPr>
      <w:rFonts w:ascii="Calibri" w:hAnsi="Calibri" w:eastAsia="宋体" w:cstheme="minorBidi"/>
      <w:sz w:val="20"/>
      <w:szCs w:val="20"/>
    </w:rPr>
  </w:style>
  <w:style w:type="paragraph" w:customStyle="1" w:styleId="78">
    <w:name w:val="WPSOffice手动目录 3"/>
    <w:qFormat/>
    <w:uiPriority w:val="0"/>
    <w:pPr>
      <w:ind w:left="0" w:leftChars="0" w:firstLine="560" w:firstLineChars="200"/>
    </w:pPr>
    <w:rPr>
      <w:rFonts w:ascii="Calibri" w:hAnsi="Calibri" w:eastAsia="宋体" w:cstheme="minorBidi"/>
      <w:sz w:val="20"/>
      <w:szCs w:val="20"/>
    </w:rPr>
  </w:style>
  <w:style w:type="paragraph" w:customStyle="1" w:styleId="79">
    <w:name w:val="Other|1"/>
    <w:basedOn w:val="1"/>
    <w:qFormat/>
    <w:uiPriority w:val="0"/>
    <w:pPr>
      <w:spacing w:after="240" w:line="439" w:lineRule="auto"/>
      <w:ind w:firstLine="400"/>
    </w:pPr>
    <w:rPr>
      <w:rFonts w:ascii="宋体" w:hAnsi="宋体" w:cs="宋体"/>
      <w:sz w:val="22"/>
      <w:szCs w:val="22"/>
      <w:lang w:val="zh-TW" w:eastAsia="zh-TW" w:bidi="zh-TW"/>
    </w:rPr>
  </w:style>
  <w:style w:type="character" w:customStyle="1" w:styleId="80">
    <w:name w:val="页眉 字符"/>
    <w:basedOn w:val="59"/>
    <w:link w:val="38"/>
    <w:qFormat/>
    <w:uiPriority w:val="99"/>
    <w:rPr>
      <w:sz w:val="18"/>
      <w:szCs w:val="18"/>
    </w:rPr>
  </w:style>
  <w:style w:type="paragraph" w:customStyle="1" w:styleId="81">
    <w:name w:val="Table Text"/>
    <w:basedOn w:val="1"/>
    <w:semiHidden/>
    <w:qFormat/>
    <w:uiPriority w:val="0"/>
    <w:rPr>
      <w:rFonts w:ascii="Times New Roman" w:hAnsi="Times New Roman" w:eastAsia="Times New Roman" w:cs="Times New Roman"/>
      <w:sz w:val="20"/>
      <w:szCs w:val="20"/>
      <w:lang w:val="en-US" w:eastAsia="en-US" w:bidi="ar-SA"/>
    </w:rPr>
  </w:style>
  <w:style w:type="character" w:customStyle="1" w:styleId="82">
    <w:name w:val="标题 3 字符"/>
    <w:basedOn w:val="59"/>
    <w:link w:val="5"/>
    <w:qFormat/>
    <w:uiPriority w:val="0"/>
    <w:rPr>
      <w:rFonts w:ascii="Times New Roman" w:hAnsi="Times New Roman" w:eastAsia="宋体" w:cs="Times New Roman"/>
      <w:b/>
      <w:bCs/>
      <w:snapToGrid w:val="0"/>
      <w:color w:val="000000" w:themeColor="text1"/>
      <w:kern w:val="0"/>
      <w:sz w:val="30"/>
      <w:szCs w:val="20"/>
      <w14:textFill>
        <w14:solidFill>
          <w14:schemeClr w14:val="tx1"/>
        </w14:solidFill>
      </w14:textFill>
    </w:rPr>
  </w:style>
  <w:style w:type="character" w:customStyle="1" w:styleId="83">
    <w:name w:val="标题 4 字符"/>
    <w:basedOn w:val="59"/>
    <w:link w:val="6"/>
    <w:qFormat/>
    <w:uiPriority w:val="0"/>
    <w:rPr>
      <w:rFonts w:ascii="Times New Roman" w:hAnsi="Times New Roman" w:eastAsia="宋体" w:cs="Times New Roman"/>
      <w:b/>
      <w:bCs/>
      <w:snapToGrid w:val="0"/>
      <w:color w:val="000000"/>
      <w:kern w:val="0"/>
      <w:sz w:val="28"/>
      <w:szCs w:val="28"/>
    </w:rPr>
  </w:style>
  <w:style w:type="character" w:customStyle="1" w:styleId="84">
    <w:name w:val="标题 1 Char"/>
    <w:qFormat/>
    <w:uiPriority w:val="0"/>
    <w:rPr>
      <w:rFonts w:eastAsia="黑体" w:cs="宋体"/>
      <w:b/>
      <w:bCs/>
      <w:sz w:val="44"/>
      <w:szCs w:val="36"/>
      <w:lang w:val="en-US" w:eastAsia="zh-CN" w:bidi="ar-SA"/>
    </w:rPr>
  </w:style>
  <w:style w:type="character" w:customStyle="1" w:styleId="85">
    <w:name w:val="标题 2 Char"/>
    <w:qFormat/>
    <w:uiPriority w:val="0"/>
    <w:rPr>
      <w:rFonts w:eastAsia="黑体"/>
      <w:bCs/>
      <w:snapToGrid w:val="0"/>
      <w:sz w:val="30"/>
      <w:szCs w:val="30"/>
      <w:lang w:val="en-US" w:eastAsia="zh-CN" w:bidi="ar-SA"/>
    </w:rPr>
  </w:style>
  <w:style w:type="paragraph" w:customStyle="1" w:styleId="86">
    <w:name w:val="三级条标题"/>
    <w:basedOn w:val="87"/>
    <w:next w:val="1"/>
    <w:qFormat/>
    <w:uiPriority w:val="0"/>
    <w:pPr>
      <w:numPr>
        <w:ilvl w:val="4"/>
        <w:numId w:val="3"/>
      </w:numPr>
      <w:ind w:left="945"/>
      <w:outlineLvl w:val="4"/>
    </w:pPr>
  </w:style>
  <w:style w:type="paragraph" w:customStyle="1" w:styleId="87">
    <w:name w:val="二级条标题"/>
    <w:basedOn w:val="88"/>
    <w:next w:val="1"/>
    <w:qFormat/>
    <w:uiPriority w:val="0"/>
    <w:pPr>
      <w:spacing w:before="0" w:beforeLines="0" w:after="0" w:afterLines="0"/>
      <w:ind w:left="945"/>
      <w:outlineLvl w:val="3"/>
    </w:pPr>
  </w:style>
  <w:style w:type="paragraph" w:customStyle="1" w:styleId="88">
    <w:name w:val="一级条标题"/>
    <w:basedOn w:val="89"/>
    <w:next w:val="1"/>
    <w:qFormat/>
    <w:uiPriority w:val="0"/>
    <w:pPr>
      <w:outlineLvl w:val="2"/>
    </w:pPr>
  </w:style>
  <w:style w:type="paragraph" w:customStyle="1" w:styleId="89">
    <w:name w:val="章标题"/>
    <w:next w:val="1"/>
    <w:qFormat/>
    <w:uiPriority w:val="0"/>
    <w:pPr>
      <w:spacing w:before="156" w:beforeLines="50" w:after="156" w:afterLines="50"/>
      <w:jc w:val="both"/>
      <w:outlineLvl w:val="1"/>
    </w:pPr>
    <w:rPr>
      <w:rFonts w:ascii="黑体" w:hAnsi="Calibri" w:eastAsia="黑体" w:cs="Times New Roman"/>
      <w:sz w:val="21"/>
      <w:lang w:val="en-US" w:eastAsia="zh-CN" w:bidi="ar-SA"/>
    </w:rPr>
  </w:style>
  <w:style w:type="paragraph" w:customStyle="1" w:styleId="90">
    <w:name w:val="Default"/>
    <w:next w:val="9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91">
    <w:name w:val="标题4"/>
    <w:basedOn w:val="1"/>
    <w:next w:val="92"/>
    <w:qFormat/>
    <w:uiPriority w:val="0"/>
    <w:pPr>
      <w:spacing w:line="480" w:lineRule="auto"/>
      <w:outlineLvl w:val="1"/>
    </w:pPr>
    <w:rPr>
      <w:rFonts w:ascii="黑体" w:hAnsi="宋体" w:eastAsia="黑体"/>
      <w:b/>
      <w:snapToGrid/>
      <w:kern w:val="2"/>
    </w:rPr>
  </w:style>
  <w:style w:type="paragraph" w:customStyle="1" w:styleId="92">
    <w:name w:val="Char1"/>
    <w:basedOn w:val="1"/>
    <w:next w:val="93"/>
    <w:qFormat/>
    <w:uiPriority w:val="0"/>
    <w:pPr>
      <w:autoSpaceDE w:val="0"/>
      <w:autoSpaceDN w:val="0"/>
      <w:adjustRightInd w:val="0"/>
      <w:spacing w:before="50" w:after="50"/>
    </w:pPr>
    <w:rPr>
      <w:snapToGrid/>
      <w:kern w:val="2"/>
      <w:sz w:val="21"/>
      <w:szCs w:val="20"/>
    </w:rPr>
  </w:style>
  <w:style w:type="paragraph" w:customStyle="1" w:styleId="93">
    <w:name w:val="Char"/>
    <w:basedOn w:val="20"/>
    <w:next w:val="94"/>
    <w:semiHidden/>
    <w:qFormat/>
    <w:uiPriority w:val="0"/>
    <w:rPr>
      <w:snapToGrid/>
      <w:kern w:val="2"/>
      <w:sz w:val="21"/>
    </w:rPr>
  </w:style>
  <w:style w:type="paragraph" w:customStyle="1" w:styleId="94">
    <w:name w:val="首行缩进加粗"/>
    <w:basedOn w:val="1"/>
    <w:next w:val="95"/>
    <w:qFormat/>
    <w:uiPriority w:val="0"/>
    <w:pPr>
      <w:spacing w:line="360" w:lineRule="auto"/>
      <w:ind w:left="482" w:firstLine="4834"/>
    </w:pPr>
    <w:rPr>
      <w:rFonts w:ascii="宋体"/>
    </w:rPr>
  </w:style>
  <w:style w:type="paragraph" w:customStyle="1" w:styleId="95">
    <w:name w:val="四级条标题"/>
    <w:basedOn w:val="86"/>
    <w:next w:val="5"/>
    <w:qFormat/>
    <w:uiPriority w:val="0"/>
    <w:pPr>
      <w:spacing w:before="50" w:after="50"/>
      <w:ind w:left="1080" w:firstLine="14"/>
      <w:outlineLvl w:val="5"/>
    </w:pPr>
  </w:style>
  <w:style w:type="character" w:customStyle="1" w:styleId="96">
    <w:name w:val="页脚 字符"/>
    <w:basedOn w:val="59"/>
    <w:link w:val="37"/>
    <w:qFormat/>
    <w:uiPriority w:val="99"/>
    <w:rPr>
      <w:sz w:val="18"/>
      <w:szCs w:val="18"/>
    </w:rPr>
  </w:style>
  <w:style w:type="character" w:customStyle="1" w:styleId="97">
    <w:name w:val="标题 1 字符"/>
    <w:basedOn w:val="59"/>
    <w:link w:val="3"/>
    <w:qFormat/>
    <w:uiPriority w:val="0"/>
    <w:rPr>
      <w:rFonts w:ascii="Times New Roman" w:hAnsi="Times New Roman" w:eastAsia="宋体" w:cs="Times New Roman"/>
      <w:b/>
      <w:bCs/>
      <w:snapToGrid w:val="0"/>
      <w:color w:val="000000" w:themeColor="text1"/>
      <w:kern w:val="0"/>
      <w:sz w:val="36"/>
      <w:szCs w:val="44"/>
      <w14:textFill>
        <w14:solidFill>
          <w14:schemeClr w14:val="tx1"/>
        </w14:solidFill>
      </w14:textFill>
    </w:rPr>
  </w:style>
  <w:style w:type="character" w:customStyle="1" w:styleId="98">
    <w:name w:val="正文文本 字符"/>
    <w:basedOn w:val="59"/>
    <w:link w:val="25"/>
    <w:semiHidden/>
    <w:qFormat/>
    <w:uiPriority w:val="99"/>
    <w:rPr>
      <w:rFonts w:ascii="Times New Roman" w:hAnsi="Times New Roman" w:eastAsia="宋体" w:cs="Times New Roman"/>
      <w:snapToGrid w:val="0"/>
      <w:kern w:val="0"/>
      <w:sz w:val="24"/>
      <w:szCs w:val="24"/>
    </w:rPr>
  </w:style>
  <w:style w:type="character" w:customStyle="1" w:styleId="99">
    <w:name w:val="正文文本首行缩进 字符"/>
    <w:basedOn w:val="98"/>
    <w:link w:val="56"/>
    <w:semiHidden/>
    <w:qFormat/>
    <w:uiPriority w:val="99"/>
    <w:rPr>
      <w:rFonts w:ascii="Times New Roman" w:hAnsi="Times New Roman" w:eastAsia="宋体" w:cs="Times New Roman"/>
      <w:snapToGrid w:val="0"/>
      <w:kern w:val="0"/>
      <w:sz w:val="24"/>
      <w:szCs w:val="24"/>
    </w:rPr>
  </w:style>
  <w:style w:type="character" w:customStyle="1" w:styleId="100">
    <w:name w:val="3级标题 Char"/>
    <w:link w:val="72"/>
    <w:qFormat/>
    <w:uiPriority w:val="0"/>
    <w:rPr>
      <w:rFonts w:ascii="Times New Roman" w:hAnsi="Times New Roman" w:eastAsia="黑体" w:cs="Times New Roman"/>
      <w:b/>
      <w:snapToGrid w:val="0"/>
      <w:kern w:val="0"/>
      <w:sz w:val="32"/>
      <w:szCs w:val="32"/>
    </w:rPr>
  </w:style>
  <w:style w:type="character" w:customStyle="1" w:styleId="101">
    <w:name w:val="正文 + 首行缩进 Char"/>
    <w:link w:val="102"/>
    <w:qFormat/>
    <w:uiPriority w:val="0"/>
    <w:rPr>
      <w:rFonts w:eastAsia="宋体"/>
      <w:sz w:val="28"/>
    </w:rPr>
  </w:style>
  <w:style w:type="paragraph" w:customStyle="1" w:styleId="102">
    <w:name w:val="正文 + 首行缩进"/>
    <w:basedOn w:val="103"/>
    <w:link w:val="101"/>
    <w:qFormat/>
    <w:uiPriority w:val="0"/>
    <w:pPr>
      <w:spacing w:line="500" w:lineRule="exact"/>
    </w:pPr>
    <w:rPr>
      <w:rFonts w:asciiTheme="minorHAnsi" w:hAnsiTheme="minorHAnsi" w:cstheme="minorBidi"/>
      <w:snapToGrid/>
      <w:kern w:val="2"/>
      <w:szCs w:val="22"/>
    </w:rPr>
  </w:style>
  <w:style w:type="paragraph" w:customStyle="1" w:styleId="103">
    <w:name w:val="正文2"/>
    <w:basedOn w:val="104"/>
    <w:qFormat/>
    <w:uiPriority w:val="0"/>
    <w:pPr>
      <w:spacing w:line="500" w:lineRule="exact"/>
    </w:pPr>
    <w:rPr>
      <w:snapToGrid/>
      <w:kern w:val="2"/>
    </w:rPr>
  </w:style>
  <w:style w:type="paragraph" w:customStyle="1" w:styleId="104">
    <w:name w:val="样式 样式 四号 行距: 1.5 倍行距 首行缩进:  2 字符 + 首行缩进:  2 字符"/>
    <w:basedOn w:val="105"/>
    <w:qFormat/>
    <w:uiPriority w:val="0"/>
    <w:pPr>
      <w:ind w:firstLine="560"/>
    </w:pPr>
  </w:style>
  <w:style w:type="paragraph" w:customStyle="1" w:styleId="105">
    <w:name w:val="样式 四号 行距: 1.5 倍行距 首行缩进:  2 字符"/>
    <w:basedOn w:val="1"/>
    <w:qFormat/>
    <w:uiPriority w:val="0"/>
    <w:pPr>
      <w:ind w:firstLine="200"/>
    </w:pPr>
    <w:rPr>
      <w:rFonts w:eastAsia="仿宋_GB2312"/>
      <w:snapToGrid/>
      <w:kern w:val="2"/>
      <w:szCs w:val="20"/>
    </w:rPr>
  </w:style>
  <w:style w:type="character" w:customStyle="1" w:styleId="106">
    <w:name w:val="正文6"/>
    <w:basedOn w:val="59"/>
    <w:qFormat/>
    <w:uiPriority w:val="0"/>
    <w:rPr>
      <w:rFonts w:ascii="Times New Roman" w:hAnsi="Times New Roman" w:eastAsia="宋体"/>
      <w:sz w:val="28"/>
      <w:szCs w:val="28"/>
    </w:rPr>
  </w:style>
  <w:style w:type="paragraph" w:customStyle="1" w:styleId="107">
    <w:name w:val="_Style 207"/>
    <w:basedOn w:val="1"/>
    <w:next w:val="108"/>
    <w:qFormat/>
    <w:uiPriority w:val="34"/>
    <w:pPr>
      <w:spacing w:line="500" w:lineRule="exact"/>
      <w:ind w:firstLine="420"/>
    </w:pPr>
    <w:rPr>
      <w:rFonts w:ascii="Calibri" w:hAnsi="Calibri" w:eastAsia="Times New Roman"/>
      <w:snapToGrid/>
      <w:kern w:val="2"/>
      <w:szCs w:val="22"/>
    </w:rPr>
  </w:style>
  <w:style w:type="paragraph" w:styleId="108">
    <w:name w:val="List Paragraph"/>
    <w:basedOn w:val="1"/>
    <w:link w:val="287"/>
    <w:qFormat/>
    <w:uiPriority w:val="99"/>
    <w:pPr>
      <w:numPr>
        <w:ilvl w:val="0"/>
        <w:numId w:val="4"/>
      </w:numPr>
      <w:ind w:firstLine="0" w:firstLineChars="0"/>
    </w:pPr>
  </w:style>
  <w:style w:type="character" w:customStyle="1" w:styleId="109">
    <w:name w:val="标题 5 字符"/>
    <w:basedOn w:val="59"/>
    <w:link w:val="7"/>
    <w:qFormat/>
    <w:uiPriority w:val="0"/>
    <w:rPr>
      <w:rFonts w:ascii="宋体" w:hAnsi="宋体" w:eastAsia="宋体" w:cs="Times New Roman"/>
      <w:b/>
      <w:bCs/>
      <w:snapToGrid w:val="0"/>
      <w:color w:val="000000"/>
      <w:kern w:val="0"/>
      <w:sz w:val="24"/>
      <w:szCs w:val="24"/>
    </w:rPr>
  </w:style>
  <w:style w:type="character" w:customStyle="1" w:styleId="110">
    <w:name w:val="标题 6 字符"/>
    <w:basedOn w:val="59"/>
    <w:link w:val="8"/>
    <w:qFormat/>
    <w:uiPriority w:val="0"/>
    <w:rPr>
      <w:rFonts w:ascii="仿宋_GB2312" w:hAnsi="Times New Roman" w:eastAsia="仿宋_GB2312" w:cs="Times New Roman"/>
      <w:snapToGrid w:val="0"/>
      <w:kern w:val="0"/>
      <w:sz w:val="28"/>
      <w:szCs w:val="24"/>
    </w:rPr>
  </w:style>
  <w:style w:type="character" w:customStyle="1" w:styleId="111">
    <w:name w:val="标题 7 字符"/>
    <w:basedOn w:val="59"/>
    <w:link w:val="9"/>
    <w:qFormat/>
    <w:uiPriority w:val="0"/>
    <w:rPr>
      <w:rFonts w:ascii="Times New Roman" w:hAnsi="Times New Roman" w:eastAsia="宋体" w:cs="Times New Roman"/>
      <w:b/>
      <w:bCs/>
      <w:snapToGrid w:val="0"/>
      <w:kern w:val="0"/>
      <w:sz w:val="24"/>
      <w:szCs w:val="24"/>
    </w:rPr>
  </w:style>
  <w:style w:type="character" w:customStyle="1" w:styleId="112">
    <w:name w:val="标题 8 字符"/>
    <w:basedOn w:val="59"/>
    <w:link w:val="10"/>
    <w:qFormat/>
    <w:uiPriority w:val="0"/>
    <w:rPr>
      <w:rFonts w:ascii="Times New Roman" w:hAnsi="Times New Roman" w:eastAsia="宋体" w:cs="Times New Roman"/>
      <w:b/>
      <w:bCs/>
      <w:snapToGrid w:val="0"/>
      <w:kern w:val="0"/>
      <w:sz w:val="24"/>
      <w:szCs w:val="24"/>
    </w:rPr>
  </w:style>
  <w:style w:type="character" w:customStyle="1" w:styleId="113">
    <w:name w:val="标题 9 字符"/>
    <w:basedOn w:val="59"/>
    <w:link w:val="11"/>
    <w:qFormat/>
    <w:uiPriority w:val="0"/>
    <w:rPr>
      <w:rFonts w:ascii="Arial" w:hAnsi="Arial" w:eastAsia="黑体" w:cs="Times New Roman"/>
      <w:szCs w:val="21"/>
    </w:rPr>
  </w:style>
  <w:style w:type="character" w:customStyle="1" w:styleId="114">
    <w:name w:val="宏文本 字符"/>
    <w:basedOn w:val="59"/>
    <w:link w:val="2"/>
    <w:semiHidden/>
    <w:qFormat/>
    <w:uiPriority w:val="0"/>
    <w:rPr>
      <w:rFonts w:ascii="Courier New" w:hAnsi="Courier New" w:eastAsia="宋体" w:cs="Courier New"/>
      <w:snapToGrid w:val="0"/>
      <w:kern w:val="0"/>
      <w:sz w:val="24"/>
      <w:szCs w:val="24"/>
    </w:rPr>
  </w:style>
  <w:style w:type="character" w:customStyle="1" w:styleId="115">
    <w:name w:val="注释标题 字符"/>
    <w:basedOn w:val="59"/>
    <w:link w:val="14"/>
    <w:qFormat/>
    <w:uiPriority w:val="0"/>
    <w:rPr>
      <w:rFonts w:ascii="宋体" w:hAnsi="宋体" w:eastAsia="宋体" w:cs="Times New Roman"/>
      <w:kern w:val="0"/>
      <w:sz w:val="24"/>
      <w:szCs w:val="24"/>
    </w:rPr>
  </w:style>
  <w:style w:type="character" w:customStyle="1" w:styleId="116">
    <w:name w:val="文档结构图 字符"/>
    <w:basedOn w:val="59"/>
    <w:link w:val="20"/>
    <w:semiHidden/>
    <w:qFormat/>
    <w:uiPriority w:val="0"/>
    <w:rPr>
      <w:rFonts w:ascii="Times New Roman" w:hAnsi="Times New Roman" w:eastAsia="宋体" w:cs="Times New Roman"/>
      <w:snapToGrid w:val="0"/>
      <w:kern w:val="0"/>
      <w:sz w:val="24"/>
      <w:szCs w:val="24"/>
      <w:shd w:val="clear" w:color="auto" w:fill="000080"/>
    </w:rPr>
  </w:style>
  <w:style w:type="character" w:customStyle="1" w:styleId="117">
    <w:name w:val="批注文字 字符"/>
    <w:basedOn w:val="59"/>
    <w:link w:val="21"/>
    <w:qFormat/>
    <w:uiPriority w:val="0"/>
    <w:rPr>
      <w:rFonts w:ascii="Times New Roman" w:hAnsi="Times New Roman" w:eastAsia="宋体" w:cs="Times New Roman"/>
      <w:snapToGrid w:val="0"/>
      <w:kern w:val="0"/>
      <w:sz w:val="24"/>
      <w:szCs w:val="24"/>
    </w:rPr>
  </w:style>
  <w:style w:type="character" w:customStyle="1" w:styleId="118">
    <w:name w:val="称呼 字符"/>
    <w:basedOn w:val="59"/>
    <w:link w:val="23"/>
    <w:qFormat/>
    <w:uiPriority w:val="0"/>
    <w:rPr>
      <w:rFonts w:ascii="仿宋_GB2312" w:hAnsi="Times New Roman" w:eastAsia="仿宋_GB2312" w:cs="Times New Roman"/>
      <w:sz w:val="32"/>
      <w:szCs w:val="24"/>
    </w:rPr>
  </w:style>
  <w:style w:type="character" w:customStyle="1" w:styleId="119">
    <w:name w:val="正文文本 3 字符"/>
    <w:basedOn w:val="59"/>
    <w:link w:val="24"/>
    <w:qFormat/>
    <w:uiPriority w:val="0"/>
    <w:rPr>
      <w:rFonts w:ascii="Times New Roman" w:hAnsi="Times New Roman" w:eastAsia="宋体" w:cs="Times New Roman"/>
      <w:sz w:val="16"/>
      <w:szCs w:val="24"/>
    </w:rPr>
  </w:style>
  <w:style w:type="character" w:customStyle="1" w:styleId="120">
    <w:name w:val="正文文本缩进 字符"/>
    <w:basedOn w:val="59"/>
    <w:link w:val="26"/>
    <w:qFormat/>
    <w:uiPriority w:val="0"/>
    <w:rPr>
      <w:rFonts w:ascii="Times New Roman" w:hAnsi="Times New Roman" w:eastAsia="宋体" w:cs="Times New Roman"/>
      <w:snapToGrid w:val="0"/>
      <w:kern w:val="0"/>
      <w:sz w:val="24"/>
      <w:szCs w:val="24"/>
    </w:rPr>
  </w:style>
  <w:style w:type="character" w:customStyle="1" w:styleId="121">
    <w:name w:val="纯文本 字符"/>
    <w:basedOn w:val="59"/>
    <w:link w:val="31"/>
    <w:qFormat/>
    <w:uiPriority w:val="0"/>
    <w:rPr>
      <w:rFonts w:ascii="宋体" w:hAnsi="Courier New" w:eastAsia="宋体" w:cs="Times New Roman"/>
      <w:szCs w:val="20"/>
    </w:rPr>
  </w:style>
  <w:style w:type="character" w:customStyle="1" w:styleId="122">
    <w:name w:val="日期 字符"/>
    <w:basedOn w:val="59"/>
    <w:link w:val="34"/>
    <w:qFormat/>
    <w:uiPriority w:val="0"/>
    <w:rPr>
      <w:rFonts w:ascii="宋体" w:hAnsi="Times New Roman" w:eastAsia="宋体" w:cs="Times New Roman"/>
      <w:snapToGrid w:val="0"/>
      <w:kern w:val="0"/>
      <w:sz w:val="24"/>
      <w:szCs w:val="20"/>
    </w:rPr>
  </w:style>
  <w:style w:type="character" w:customStyle="1" w:styleId="123">
    <w:name w:val="正文文本缩进 2 字符"/>
    <w:basedOn w:val="59"/>
    <w:link w:val="35"/>
    <w:qFormat/>
    <w:uiPriority w:val="0"/>
    <w:rPr>
      <w:rFonts w:ascii="Times New Roman" w:hAnsi="Times New Roman" w:eastAsia="宋体" w:cs="Times New Roman"/>
      <w:snapToGrid w:val="0"/>
      <w:kern w:val="0"/>
      <w:sz w:val="24"/>
      <w:szCs w:val="24"/>
    </w:rPr>
  </w:style>
  <w:style w:type="character" w:customStyle="1" w:styleId="124">
    <w:name w:val="批注框文本 字符"/>
    <w:basedOn w:val="59"/>
    <w:link w:val="36"/>
    <w:semiHidden/>
    <w:qFormat/>
    <w:uiPriority w:val="0"/>
    <w:rPr>
      <w:rFonts w:ascii="Times New Roman" w:hAnsi="Times New Roman" w:eastAsia="宋体" w:cs="Times New Roman"/>
      <w:sz w:val="18"/>
      <w:szCs w:val="18"/>
    </w:rPr>
  </w:style>
  <w:style w:type="character" w:customStyle="1" w:styleId="125">
    <w:name w:val="正文文本缩进 3 字符"/>
    <w:basedOn w:val="59"/>
    <w:link w:val="45"/>
    <w:qFormat/>
    <w:uiPriority w:val="0"/>
    <w:rPr>
      <w:rFonts w:ascii="Times New Roman" w:hAnsi="Times New Roman" w:eastAsia="宋体" w:cs="Times New Roman"/>
      <w:snapToGrid w:val="0"/>
      <w:kern w:val="0"/>
      <w:sz w:val="24"/>
      <w:szCs w:val="24"/>
    </w:rPr>
  </w:style>
  <w:style w:type="character" w:customStyle="1" w:styleId="126">
    <w:name w:val="正文文本 2 字符"/>
    <w:basedOn w:val="59"/>
    <w:link w:val="50"/>
    <w:qFormat/>
    <w:uiPriority w:val="0"/>
    <w:rPr>
      <w:rFonts w:ascii="Times New Roman" w:hAnsi="Times New Roman" w:eastAsia="宋体" w:cs="Times New Roman"/>
      <w:b/>
      <w:bCs/>
      <w:snapToGrid w:val="0"/>
      <w:kern w:val="0"/>
      <w:sz w:val="28"/>
      <w:szCs w:val="24"/>
    </w:rPr>
  </w:style>
  <w:style w:type="character" w:customStyle="1" w:styleId="127">
    <w:name w:val="批注主题 字符"/>
    <w:basedOn w:val="117"/>
    <w:link w:val="55"/>
    <w:semiHidden/>
    <w:qFormat/>
    <w:uiPriority w:val="0"/>
    <w:rPr>
      <w:rFonts w:ascii="Times New Roman" w:hAnsi="Times New Roman" w:eastAsia="宋体" w:cs="Times New Roman"/>
      <w:b/>
      <w:bCs/>
      <w:snapToGrid w:val="0"/>
      <w:kern w:val="0"/>
      <w:sz w:val="24"/>
      <w:szCs w:val="24"/>
    </w:rPr>
  </w:style>
  <w:style w:type="character" w:customStyle="1" w:styleId="128">
    <w:name w:val="表头 Char"/>
    <w:link w:val="74"/>
    <w:qFormat/>
    <w:uiPriority w:val="0"/>
    <w:rPr>
      <w:rFonts w:ascii="Times New Roman" w:hAnsi="Times New Roman" w:eastAsia="黑体" w:cs="Times New Roman"/>
      <w:snapToGrid w:val="0"/>
      <w:kern w:val="0"/>
      <w:sz w:val="24"/>
      <w:szCs w:val="24"/>
    </w:rPr>
  </w:style>
  <w:style w:type="paragraph" w:customStyle="1" w:styleId="129">
    <w:name w:val="阿达地方"/>
    <w:basedOn w:val="5"/>
    <w:link w:val="193"/>
    <w:qFormat/>
    <w:uiPriority w:val="0"/>
  </w:style>
  <w:style w:type="character" w:customStyle="1" w:styleId="130">
    <w:name w:val="正文4 Char"/>
    <w:link w:val="131"/>
    <w:qFormat/>
    <w:uiPriority w:val="0"/>
    <w:rPr>
      <w:color w:val="000000"/>
      <w:sz w:val="24"/>
      <w:szCs w:val="24"/>
    </w:rPr>
  </w:style>
  <w:style w:type="paragraph" w:customStyle="1" w:styleId="131">
    <w:name w:val="正文4"/>
    <w:basedOn w:val="1"/>
    <w:link w:val="130"/>
    <w:qFormat/>
    <w:uiPriority w:val="0"/>
    <w:pPr>
      <w:widowControl/>
      <w:spacing w:before="60" w:after="60" w:line="440" w:lineRule="exact"/>
      <w:jc w:val="left"/>
    </w:pPr>
    <w:rPr>
      <w:rFonts w:asciiTheme="minorHAnsi" w:hAnsiTheme="minorHAnsi" w:eastAsiaTheme="minorEastAsia" w:cstheme="minorBidi"/>
      <w:snapToGrid/>
      <w:kern w:val="2"/>
    </w:rPr>
  </w:style>
  <w:style w:type="character" w:customStyle="1" w:styleId="132">
    <w:name w:val="表格标题_"/>
    <w:link w:val="75"/>
    <w:unhideWhenUsed/>
    <w:qFormat/>
    <w:uiPriority w:val="99"/>
    <w:rPr>
      <w:rFonts w:ascii="MingLiU" w:hAnsi="MingLiU" w:eastAsia="MingLiU"/>
      <w:b/>
      <w:spacing w:val="10"/>
      <w:sz w:val="23"/>
    </w:rPr>
  </w:style>
  <w:style w:type="character" w:customStyle="1" w:styleId="133">
    <w:name w:val="表格标题 (2) + 间距 0 pt"/>
    <w:unhideWhenUsed/>
    <w:qFormat/>
    <w:uiPriority w:val="99"/>
    <w:rPr>
      <w:rFonts w:hint="default" w:ascii="MingLiU" w:hAnsi="MingLiU" w:eastAsia="MingLiU"/>
      <w:spacing w:val="-10"/>
      <w:sz w:val="27"/>
      <w:lang w:val="en-US" w:eastAsia="en-US"/>
    </w:rPr>
  </w:style>
  <w:style w:type="character" w:customStyle="1" w:styleId="134">
    <w:name w:val="正文文本 (28)_"/>
    <w:link w:val="135"/>
    <w:unhideWhenUsed/>
    <w:qFormat/>
    <w:uiPriority w:val="99"/>
    <w:rPr>
      <w:rFonts w:ascii="MingLiU" w:hAnsi="MingLiU" w:eastAsia="MingLiU"/>
      <w:sz w:val="17"/>
      <w:shd w:val="clear" w:color="auto" w:fill="FFFFFF"/>
    </w:rPr>
  </w:style>
  <w:style w:type="paragraph" w:customStyle="1" w:styleId="135">
    <w:name w:val="正文文本 (28)"/>
    <w:basedOn w:val="1"/>
    <w:link w:val="134"/>
    <w:unhideWhenUsed/>
    <w:qFormat/>
    <w:uiPriority w:val="99"/>
    <w:pPr>
      <w:shd w:val="clear" w:color="auto" w:fill="FFFFFF"/>
      <w:spacing w:line="240" w:lineRule="atLeast"/>
      <w:ind w:hanging="1300"/>
    </w:pPr>
    <w:rPr>
      <w:rFonts w:hint="eastAsia" w:ascii="MingLiU" w:hAnsi="MingLiU" w:eastAsia="MingLiU" w:cstheme="minorBidi"/>
      <w:snapToGrid/>
      <w:kern w:val="2"/>
      <w:sz w:val="17"/>
      <w:szCs w:val="22"/>
    </w:rPr>
  </w:style>
  <w:style w:type="character" w:customStyle="1" w:styleId="136">
    <w:name w:val="标题1"/>
    <w:qFormat/>
    <w:uiPriority w:val="0"/>
  </w:style>
  <w:style w:type="character" w:customStyle="1" w:styleId="137">
    <w:name w:val="表格标题 + 12 pt"/>
    <w:unhideWhenUsed/>
    <w:qFormat/>
    <w:uiPriority w:val="99"/>
    <w:rPr>
      <w:rFonts w:hint="default" w:ascii="MingLiU" w:hAnsi="MingLiU" w:eastAsia="MingLiU"/>
      <w:b/>
      <w:spacing w:val="-10"/>
      <w:sz w:val="24"/>
      <w:lang w:val="en-US" w:eastAsia="en-US"/>
    </w:rPr>
  </w:style>
  <w:style w:type="character" w:customStyle="1" w:styleId="138">
    <w:name w:val="正文文本 + Batang"/>
    <w:unhideWhenUsed/>
    <w:qFormat/>
    <w:uiPriority w:val="99"/>
    <w:rPr>
      <w:rFonts w:hint="default" w:ascii="Batang" w:hAnsi="Batang" w:eastAsia="Batang"/>
      <w:b/>
      <w:spacing w:val="0"/>
      <w:sz w:val="15"/>
      <w:lang w:val="en-US" w:eastAsia="en-US"/>
    </w:rPr>
  </w:style>
  <w:style w:type="character" w:customStyle="1" w:styleId="139">
    <w:name w:val="表格标题 Char"/>
    <w:qFormat/>
    <w:uiPriority w:val="0"/>
    <w:rPr>
      <w:rFonts w:ascii="Arial" w:hAnsi="Arial" w:eastAsia="黑体"/>
      <w:sz w:val="24"/>
      <w:lang w:val="en-US" w:eastAsia="zh-CN"/>
    </w:rPr>
  </w:style>
  <w:style w:type="character" w:customStyle="1" w:styleId="140">
    <w:name w:val="样式 小四"/>
    <w:qFormat/>
    <w:uiPriority w:val="0"/>
    <w:rPr>
      <w:rFonts w:eastAsia="宋体"/>
      <w:sz w:val="24"/>
    </w:rPr>
  </w:style>
  <w:style w:type="character" w:customStyle="1" w:styleId="141">
    <w:name w:val="ttitle1"/>
    <w:qFormat/>
    <w:uiPriority w:val="0"/>
    <w:rPr>
      <w:spacing w:val="120"/>
      <w:sz w:val="28"/>
      <w:szCs w:val="28"/>
    </w:rPr>
  </w:style>
  <w:style w:type="character" w:customStyle="1" w:styleId="142">
    <w:name w:val="标题 2 Char Char Char Char"/>
    <w:qFormat/>
    <w:uiPriority w:val="0"/>
    <w:rPr>
      <w:rFonts w:ascii="Arial" w:hAnsi="Arial" w:eastAsia="黑体"/>
      <w:b/>
      <w:bCs/>
      <w:kern w:val="2"/>
      <w:sz w:val="32"/>
      <w:szCs w:val="32"/>
      <w:lang w:val="en-US" w:eastAsia="zh-CN" w:bidi="ar-SA"/>
    </w:rPr>
  </w:style>
  <w:style w:type="character" w:customStyle="1" w:styleId="143">
    <w:name w:val="正文文本 (7) Exact"/>
    <w:unhideWhenUsed/>
    <w:qFormat/>
    <w:uiPriority w:val="99"/>
    <w:rPr>
      <w:rFonts w:hint="default" w:ascii="MingLiU" w:hAnsi="MingLiU" w:eastAsia="MingLiU"/>
      <w:b/>
      <w:spacing w:val="-5"/>
      <w:sz w:val="22"/>
      <w:lang w:val="en-US" w:eastAsia="en-US"/>
    </w:rPr>
  </w:style>
  <w:style w:type="character" w:customStyle="1" w:styleId="144">
    <w:name w:val="正文文本 (7) + 11.5 pt"/>
    <w:unhideWhenUsed/>
    <w:qFormat/>
    <w:uiPriority w:val="99"/>
    <w:rPr>
      <w:rFonts w:hint="eastAsia" w:ascii="MingLiU" w:hAnsi="MingLiU" w:eastAsia="MingLiU"/>
      <w:b/>
      <w:spacing w:val="10"/>
      <w:sz w:val="23"/>
    </w:rPr>
  </w:style>
  <w:style w:type="character" w:customStyle="1" w:styleId="145">
    <w:name w:val="正文文本 (30) Exact"/>
    <w:link w:val="146"/>
    <w:unhideWhenUsed/>
    <w:qFormat/>
    <w:uiPriority w:val="99"/>
    <w:rPr>
      <w:rFonts w:ascii="Arial Narrow" w:hAnsi="Arial Narrow" w:eastAsia="Arial Narrow"/>
      <w:spacing w:val="5"/>
      <w:sz w:val="17"/>
      <w:shd w:val="clear" w:color="auto" w:fill="FFFFFF"/>
      <w:lang w:eastAsia="en-US"/>
    </w:rPr>
  </w:style>
  <w:style w:type="paragraph" w:customStyle="1" w:styleId="146">
    <w:name w:val="正文文本 (30)"/>
    <w:basedOn w:val="1"/>
    <w:link w:val="145"/>
    <w:unhideWhenUsed/>
    <w:qFormat/>
    <w:uiPriority w:val="99"/>
    <w:pPr>
      <w:shd w:val="clear" w:color="auto" w:fill="FFFFFF"/>
      <w:spacing w:line="240" w:lineRule="atLeast"/>
    </w:pPr>
    <w:rPr>
      <w:rFonts w:ascii="Arial Narrow" w:hAnsi="Arial Narrow" w:eastAsia="Arial Narrow" w:cstheme="minorBidi"/>
      <w:snapToGrid/>
      <w:spacing w:val="5"/>
      <w:kern w:val="2"/>
      <w:sz w:val="17"/>
      <w:szCs w:val="22"/>
      <w:lang w:eastAsia="en-US"/>
    </w:rPr>
  </w:style>
  <w:style w:type="character" w:customStyle="1" w:styleId="147">
    <w:name w:val="正文文本 (6)_"/>
    <w:link w:val="148"/>
    <w:unhideWhenUsed/>
    <w:qFormat/>
    <w:uiPriority w:val="99"/>
    <w:rPr>
      <w:rFonts w:ascii="MingLiU" w:hAnsi="MingLiU" w:eastAsia="MingLiU"/>
      <w:b/>
      <w:spacing w:val="10"/>
      <w:sz w:val="23"/>
      <w:shd w:val="clear" w:color="auto" w:fill="FFFFFF"/>
    </w:rPr>
  </w:style>
  <w:style w:type="paragraph" w:customStyle="1" w:styleId="148">
    <w:name w:val="正文文本 (6)"/>
    <w:basedOn w:val="1"/>
    <w:link w:val="147"/>
    <w:unhideWhenUsed/>
    <w:qFormat/>
    <w:uiPriority w:val="99"/>
    <w:pPr>
      <w:shd w:val="clear" w:color="auto" w:fill="FFFFFF"/>
      <w:spacing w:before="480" w:line="374" w:lineRule="exact"/>
      <w:jc w:val="distribute"/>
    </w:pPr>
    <w:rPr>
      <w:rFonts w:hint="eastAsia" w:ascii="MingLiU" w:hAnsi="MingLiU" w:eastAsia="MingLiU" w:cstheme="minorBidi"/>
      <w:b/>
      <w:snapToGrid/>
      <w:spacing w:val="10"/>
      <w:kern w:val="2"/>
      <w:sz w:val="23"/>
      <w:szCs w:val="22"/>
    </w:rPr>
  </w:style>
  <w:style w:type="character" w:customStyle="1" w:styleId="149">
    <w:name w:val="图片标题 (12)_"/>
    <w:link w:val="150"/>
    <w:unhideWhenUsed/>
    <w:qFormat/>
    <w:uiPriority w:val="99"/>
    <w:rPr>
      <w:rFonts w:ascii="Georgia" w:hAnsi="Georgia" w:eastAsia="Georgia"/>
      <w:sz w:val="27"/>
      <w:shd w:val="clear" w:color="auto" w:fill="FFFFFF"/>
      <w:lang w:eastAsia="en-US"/>
    </w:rPr>
  </w:style>
  <w:style w:type="paragraph" w:customStyle="1" w:styleId="150">
    <w:name w:val="图片标题 (12)"/>
    <w:basedOn w:val="1"/>
    <w:link w:val="149"/>
    <w:unhideWhenUsed/>
    <w:qFormat/>
    <w:uiPriority w:val="99"/>
    <w:pPr>
      <w:shd w:val="clear" w:color="auto" w:fill="FFFFFF"/>
      <w:spacing w:line="240" w:lineRule="atLeast"/>
    </w:pPr>
    <w:rPr>
      <w:rFonts w:ascii="Georgia" w:hAnsi="Georgia" w:eastAsia="Georgia" w:cstheme="minorBidi"/>
      <w:snapToGrid/>
      <w:kern w:val="2"/>
      <w:sz w:val="27"/>
      <w:szCs w:val="22"/>
      <w:lang w:eastAsia="en-US"/>
    </w:rPr>
  </w:style>
  <w:style w:type="character" w:customStyle="1" w:styleId="151">
    <w:name w:val="正文文本 + 间距 0 pt"/>
    <w:unhideWhenUsed/>
    <w:qFormat/>
    <w:uiPriority w:val="99"/>
    <w:rPr>
      <w:rFonts w:hint="default" w:ascii="MingLiU" w:hAnsi="MingLiU" w:eastAsia="MingLiU"/>
      <w:spacing w:val="-10"/>
      <w:sz w:val="27"/>
      <w:lang w:val="en-US" w:eastAsia="en-US"/>
    </w:rPr>
  </w:style>
  <w:style w:type="character" w:customStyle="1" w:styleId="152">
    <w:name w:val="正文文本 (6) Exact"/>
    <w:unhideWhenUsed/>
    <w:qFormat/>
    <w:uiPriority w:val="99"/>
    <w:rPr>
      <w:rFonts w:hint="eastAsia" w:ascii="MingLiU" w:hAnsi="MingLiU" w:eastAsia="MingLiU"/>
      <w:b/>
      <w:spacing w:val="14"/>
      <w:sz w:val="22"/>
    </w:rPr>
  </w:style>
  <w:style w:type="character" w:customStyle="1" w:styleId="153">
    <w:name w:val="正文文本 + 12 pt"/>
    <w:unhideWhenUsed/>
    <w:qFormat/>
    <w:uiPriority w:val="99"/>
    <w:rPr>
      <w:rFonts w:hint="default" w:ascii="MingLiU" w:hAnsi="MingLiU" w:eastAsia="MingLiU"/>
      <w:b/>
      <w:spacing w:val="-10"/>
      <w:sz w:val="24"/>
      <w:lang w:val="en-US" w:eastAsia="en-US"/>
    </w:rPr>
  </w:style>
  <w:style w:type="character" w:customStyle="1" w:styleId="154">
    <w:name w:val="正文文本 + 11.5 pt"/>
    <w:unhideWhenUsed/>
    <w:qFormat/>
    <w:uiPriority w:val="99"/>
    <w:rPr>
      <w:rFonts w:hint="eastAsia" w:ascii="MingLiU" w:hAnsi="MingLiU" w:eastAsia="MingLiU"/>
      <w:spacing w:val="10"/>
      <w:sz w:val="23"/>
    </w:rPr>
  </w:style>
  <w:style w:type="character" w:customStyle="1" w:styleId="155">
    <w:name w:val="表格文字 Char"/>
    <w:link w:val="156"/>
    <w:qFormat/>
    <w:uiPriority w:val="0"/>
    <w:rPr>
      <w:snapToGrid w:val="0"/>
      <w:kern w:val="21"/>
      <w:sz w:val="28"/>
    </w:rPr>
  </w:style>
  <w:style w:type="paragraph" w:customStyle="1" w:styleId="156">
    <w:name w:val="表格文字"/>
    <w:basedOn w:val="1"/>
    <w:link w:val="155"/>
    <w:qFormat/>
    <w:uiPriority w:val="0"/>
    <w:pPr>
      <w:adjustRightInd w:val="0"/>
      <w:spacing w:before="60" w:after="60"/>
      <w:jc w:val="center"/>
    </w:pPr>
    <w:rPr>
      <w:rFonts w:asciiTheme="minorHAnsi" w:hAnsiTheme="minorHAnsi" w:eastAsiaTheme="minorEastAsia" w:cstheme="minorBidi"/>
      <w:kern w:val="21"/>
      <w:szCs w:val="22"/>
    </w:rPr>
  </w:style>
  <w:style w:type="character" w:customStyle="1" w:styleId="157">
    <w:name w:val="表格标题 (2)_"/>
    <w:link w:val="158"/>
    <w:unhideWhenUsed/>
    <w:qFormat/>
    <w:uiPriority w:val="99"/>
    <w:rPr>
      <w:rFonts w:ascii="MingLiU" w:hAnsi="MingLiU" w:eastAsia="MingLiU"/>
      <w:sz w:val="27"/>
      <w:shd w:val="clear" w:color="auto" w:fill="FFFFFF"/>
    </w:rPr>
  </w:style>
  <w:style w:type="paragraph" w:customStyle="1" w:styleId="158">
    <w:name w:val="表格标题 (2)"/>
    <w:basedOn w:val="1"/>
    <w:link w:val="157"/>
    <w:unhideWhenUsed/>
    <w:qFormat/>
    <w:uiPriority w:val="99"/>
    <w:pPr>
      <w:shd w:val="clear" w:color="auto" w:fill="FFFFFF"/>
      <w:spacing w:line="240" w:lineRule="atLeast"/>
    </w:pPr>
    <w:rPr>
      <w:rFonts w:hint="eastAsia" w:ascii="MingLiU" w:hAnsi="MingLiU" w:eastAsia="MingLiU" w:cstheme="minorBidi"/>
      <w:snapToGrid/>
      <w:kern w:val="2"/>
      <w:sz w:val="27"/>
      <w:szCs w:val="22"/>
    </w:rPr>
  </w:style>
  <w:style w:type="character" w:customStyle="1" w:styleId="159">
    <w:name w:val="正文文本 (7)_"/>
    <w:link w:val="160"/>
    <w:unhideWhenUsed/>
    <w:qFormat/>
    <w:uiPriority w:val="99"/>
    <w:rPr>
      <w:rFonts w:ascii="MingLiU" w:hAnsi="MingLiU" w:eastAsia="MingLiU"/>
      <w:b/>
      <w:spacing w:val="-10"/>
      <w:sz w:val="24"/>
      <w:shd w:val="clear" w:color="auto" w:fill="FFFFFF"/>
    </w:rPr>
  </w:style>
  <w:style w:type="paragraph" w:customStyle="1" w:styleId="160">
    <w:name w:val="正文文本 (7)"/>
    <w:basedOn w:val="1"/>
    <w:link w:val="159"/>
    <w:unhideWhenUsed/>
    <w:qFormat/>
    <w:uiPriority w:val="99"/>
    <w:pPr>
      <w:shd w:val="clear" w:color="auto" w:fill="FFFFFF"/>
      <w:spacing w:line="374" w:lineRule="exact"/>
    </w:pPr>
    <w:rPr>
      <w:rFonts w:hint="eastAsia" w:ascii="MingLiU" w:hAnsi="MingLiU" w:eastAsia="MingLiU" w:cstheme="minorBidi"/>
      <w:b/>
      <w:snapToGrid/>
      <w:spacing w:val="-10"/>
      <w:kern w:val="2"/>
      <w:szCs w:val="22"/>
    </w:rPr>
  </w:style>
  <w:style w:type="character" w:customStyle="1" w:styleId="161">
    <w:name w:val="正文文本 (31) Exact"/>
    <w:link w:val="162"/>
    <w:unhideWhenUsed/>
    <w:qFormat/>
    <w:uiPriority w:val="99"/>
    <w:rPr>
      <w:rFonts w:ascii="Arial Narrow" w:hAnsi="Arial Narrow" w:eastAsia="Arial Narrow"/>
      <w:spacing w:val="4"/>
      <w:sz w:val="16"/>
      <w:shd w:val="clear" w:color="auto" w:fill="FFFFFF"/>
      <w:lang w:eastAsia="en-US"/>
    </w:rPr>
  </w:style>
  <w:style w:type="paragraph" w:customStyle="1" w:styleId="162">
    <w:name w:val="正文文本 (31)"/>
    <w:basedOn w:val="1"/>
    <w:link w:val="161"/>
    <w:unhideWhenUsed/>
    <w:qFormat/>
    <w:uiPriority w:val="99"/>
    <w:pPr>
      <w:shd w:val="clear" w:color="auto" w:fill="FFFFFF"/>
      <w:spacing w:line="240" w:lineRule="atLeast"/>
    </w:pPr>
    <w:rPr>
      <w:rFonts w:ascii="Arial Narrow" w:hAnsi="Arial Narrow" w:eastAsia="Arial Narrow" w:cstheme="minorBidi"/>
      <w:snapToGrid/>
      <w:spacing w:val="4"/>
      <w:kern w:val="2"/>
      <w:sz w:val="16"/>
      <w:szCs w:val="22"/>
      <w:lang w:eastAsia="en-US"/>
    </w:rPr>
  </w:style>
  <w:style w:type="character" w:customStyle="1" w:styleId="163">
    <w:name w:val="正文文本 (29)_"/>
    <w:link w:val="164"/>
    <w:unhideWhenUsed/>
    <w:qFormat/>
    <w:uiPriority w:val="99"/>
    <w:rPr>
      <w:rFonts w:ascii="MingLiU" w:hAnsi="MingLiU" w:eastAsia="MingLiU"/>
      <w:spacing w:val="-20"/>
      <w:shd w:val="clear" w:color="auto" w:fill="FFFFFF"/>
    </w:rPr>
  </w:style>
  <w:style w:type="paragraph" w:customStyle="1" w:styleId="164">
    <w:name w:val="正文文本 (29)"/>
    <w:basedOn w:val="1"/>
    <w:link w:val="163"/>
    <w:unhideWhenUsed/>
    <w:qFormat/>
    <w:uiPriority w:val="99"/>
    <w:pPr>
      <w:shd w:val="clear" w:color="auto" w:fill="FFFFFF"/>
      <w:spacing w:line="353" w:lineRule="exact"/>
    </w:pPr>
    <w:rPr>
      <w:rFonts w:hint="eastAsia" w:ascii="MingLiU" w:hAnsi="MingLiU" w:eastAsia="MingLiU" w:cstheme="minorBidi"/>
      <w:snapToGrid/>
      <w:spacing w:val="-20"/>
      <w:kern w:val="2"/>
      <w:sz w:val="21"/>
      <w:szCs w:val="22"/>
    </w:rPr>
  </w:style>
  <w:style w:type="character" w:customStyle="1" w:styleId="165">
    <w:name w:val="正文文本 (6) + 12 pt"/>
    <w:unhideWhenUsed/>
    <w:qFormat/>
    <w:uiPriority w:val="99"/>
    <w:rPr>
      <w:rFonts w:hint="default" w:ascii="MingLiU" w:hAnsi="MingLiU" w:eastAsia="MingLiU"/>
      <w:b/>
      <w:spacing w:val="-10"/>
      <w:sz w:val="24"/>
      <w:lang w:val="en-US" w:eastAsia="en-US"/>
    </w:rPr>
  </w:style>
  <w:style w:type="character" w:customStyle="1" w:styleId="166">
    <w:name w:val="三级标题 Char"/>
    <w:link w:val="167"/>
    <w:qFormat/>
    <w:locked/>
    <w:uiPriority w:val="0"/>
    <w:rPr>
      <w:rFonts w:eastAsia="黑体"/>
      <w:sz w:val="28"/>
      <w:szCs w:val="24"/>
    </w:rPr>
  </w:style>
  <w:style w:type="paragraph" w:customStyle="1" w:styleId="167">
    <w:name w:val="三级标题"/>
    <w:next w:val="1"/>
    <w:link w:val="166"/>
    <w:qFormat/>
    <w:uiPriority w:val="0"/>
    <w:pPr>
      <w:spacing w:before="20" w:beforeLines="20"/>
      <w:contextualSpacing/>
      <w:outlineLvl w:val="2"/>
    </w:pPr>
    <w:rPr>
      <w:rFonts w:eastAsia="黑体" w:asciiTheme="minorHAnsi" w:hAnsiTheme="minorHAnsi" w:cstheme="minorBidi"/>
      <w:kern w:val="2"/>
      <w:sz w:val="28"/>
      <w:szCs w:val="24"/>
      <w:lang w:val="en-US" w:eastAsia="zh-CN" w:bidi="ar-SA"/>
    </w:rPr>
  </w:style>
  <w:style w:type="character" w:customStyle="1" w:styleId="168">
    <w:name w:val="正文文本 (25) + 间距 0 pt"/>
    <w:unhideWhenUsed/>
    <w:qFormat/>
    <w:uiPriority w:val="99"/>
    <w:rPr>
      <w:rFonts w:hint="eastAsia" w:ascii="MingLiU" w:hAnsi="MingLiU" w:eastAsia="MingLiU"/>
      <w:spacing w:val="0"/>
      <w:sz w:val="27"/>
      <w:lang w:val="en-US" w:eastAsia="en-US"/>
    </w:rPr>
  </w:style>
  <w:style w:type="character" w:customStyle="1" w:styleId="169">
    <w:name w:val="正文文本 (26) Exact"/>
    <w:unhideWhenUsed/>
    <w:qFormat/>
    <w:uiPriority w:val="99"/>
    <w:rPr>
      <w:rFonts w:hint="default" w:ascii="MingLiU" w:hAnsi="MingLiU" w:eastAsia="MingLiU"/>
      <w:spacing w:val="-7"/>
      <w:sz w:val="19"/>
      <w:lang w:val="en-US" w:eastAsia="en-US"/>
    </w:rPr>
  </w:style>
  <w:style w:type="character" w:customStyle="1" w:styleId="170">
    <w:name w:val="页眉或页脚 + 10 pt"/>
    <w:unhideWhenUsed/>
    <w:qFormat/>
    <w:uiPriority w:val="99"/>
    <w:rPr>
      <w:rFonts w:hint="default" w:ascii="MingLiU" w:hAnsi="MingLiU" w:eastAsia="MingLiU"/>
      <w:w w:val="100"/>
      <w:sz w:val="20"/>
      <w:lang w:val="en-US" w:eastAsia="en-US"/>
    </w:rPr>
  </w:style>
  <w:style w:type="character" w:customStyle="1" w:styleId="171">
    <w:name w:val="正文文本 (32) + 间距 0 pt Exact"/>
    <w:unhideWhenUsed/>
    <w:qFormat/>
    <w:uiPriority w:val="99"/>
    <w:rPr>
      <w:rFonts w:hint="default" w:ascii="Gungsuh" w:hAnsi="Gungsuh" w:eastAsia="Gungsuh"/>
      <w:spacing w:val="0"/>
      <w:sz w:val="20"/>
      <w:lang w:val="en-US" w:eastAsia="en-US"/>
    </w:rPr>
  </w:style>
  <w:style w:type="character" w:customStyle="1" w:styleId="172">
    <w:name w:val="正文文本 (25) Exact"/>
    <w:unhideWhenUsed/>
    <w:qFormat/>
    <w:uiPriority w:val="99"/>
    <w:rPr>
      <w:rFonts w:hint="default" w:ascii="MingLiU" w:hAnsi="MingLiU" w:eastAsia="MingLiU"/>
      <w:spacing w:val="-11"/>
      <w:sz w:val="25"/>
      <w:lang w:val="en-US" w:eastAsia="en-US"/>
    </w:rPr>
  </w:style>
  <w:style w:type="character" w:customStyle="1" w:styleId="173">
    <w:name w:val="正文文本 (7) + 间距 0 pt Exact"/>
    <w:unhideWhenUsed/>
    <w:qFormat/>
    <w:uiPriority w:val="99"/>
    <w:rPr>
      <w:rFonts w:hint="eastAsia" w:ascii="MingLiU" w:hAnsi="MingLiU" w:eastAsia="MingLiU"/>
      <w:b/>
      <w:spacing w:val="14"/>
      <w:sz w:val="22"/>
    </w:rPr>
  </w:style>
  <w:style w:type="character" w:customStyle="1" w:styleId="174">
    <w:name w:val="正文 + 首行缩进 Char Char"/>
    <w:qFormat/>
    <w:uiPriority w:val="0"/>
    <w:rPr>
      <w:rFonts w:eastAsia="宋体" w:cs="宋体"/>
      <w:kern w:val="2"/>
      <w:sz w:val="28"/>
      <w:szCs w:val="28"/>
      <w:lang w:val="en-US" w:eastAsia="zh-CN" w:bidi="ar-SA"/>
    </w:rPr>
  </w:style>
  <w:style w:type="character" w:customStyle="1" w:styleId="175">
    <w:name w:val="font21"/>
    <w:qFormat/>
    <w:uiPriority w:val="0"/>
    <w:rPr>
      <w:rFonts w:hint="eastAsia" w:ascii="宋体" w:hAnsi="宋体" w:eastAsia="宋体" w:cs="宋体"/>
      <w:b/>
      <w:bCs/>
      <w:color w:val="000000"/>
      <w:sz w:val="21"/>
      <w:szCs w:val="21"/>
      <w:u w:val="none"/>
    </w:rPr>
  </w:style>
  <w:style w:type="character" w:customStyle="1" w:styleId="176">
    <w:name w:val="页眉或页脚 + 9 pt"/>
    <w:unhideWhenUsed/>
    <w:qFormat/>
    <w:uiPriority w:val="99"/>
    <w:rPr>
      <w:rFonts w:hint="eastAsia" w:ascii="MingLiU" w:hAnsi="MingLiU" w:eastAsia="MingLiU"/>
      <w:w w:val="100"/>
      <w:sz w:val="18"/>
      <w:lang w:val="en-US" w:eastAsia="en-US"/>
    </w:rPr>
  </w:style>
  <w:style w:type="character" w:customStyle="1" w:styleId="177">
    <w:name w:val="正文文本 + 10.5 pt"/>
    <w:unhideWhenUsed/>
    <w:qFormat/>
    <w:uiPriority w:val="99"/>
    <w:rPr>
      <w:rFonts w:hint="default" w:ascii="MingLiU" w:hAnsi="MingLiU" w:eastAsia="MingLiU"/>
      <w:spacing w:val="-20"/>
      <w:sz w:val="21"/>
      <w:lang w:val="en-US" w:eastAsia="en-US"/>
    </w:rPr>
  </w:style>
  <w:style w:type="character" w:customStyle="1" w:styleId="178">
    <w:name w:val="页眉或页脚_"/>
    <w:link w:val="179"/>
    <w:unhideWhenUsed/>
    <w:qFormat/>
    <w:uiPriority w:val="99"/>
    <w:rPr>
      <w:rFonts w:ascii="MingLiU" w:hAnsi="MingLiU" w:eastAsia="MingLiU"/>
      <w:w w:val="66"/>
      <w:sz w:val="11"/>
      <w:shd w:val="clear" w:color="auto" w:fill="FFFFFF"/>
      <w:lang w:eastAsia="en-US"/>
    </w:rPr>
  </w:style>
  <w:style w:type="paragraph" w:customStyle="1" w:styleId="179">
    <w:name w:val="页眉或页脚"/>
    <w:basedOn w:val="1"/>
    <w:link w:val="178"/>
    <w:unhideWhenUsed/>
    <w:qFormat/>
    <w:uiPriority w:val="99"/>
    <w:pPr>
      <w:shd w:val="clear" w:color="auto" w:fill="FFFFFF"/>
      <w:spacing w:line="133" w:lineRule="exact"/>
    </w:pPr>
    <w:rPr>
      <w:rFonts w:ascii="MingLiU" w:hAnsi="MingLiU" w:eastAsia="MingLiU" w:cstheme="minorBidi"/>
      <w:snapToGrid/>
      <w:w w:val="66"/>
      <w:kern w:val="2"/>
      <w:sz w:val="11"/>
      <w:szCs w:val="22"/>
      <w:lang w:eastAsia="en-US"/>
    </w:rPr>
  </w:style>
  <w:style w:type="character" w:customStyle="1" w:styleId="180">
    <w:name w:val="正文文本 (29) + 11 pt"/>
    <w:unhideWhenUsed/>
    <w:qFormat/>
    <w:uiPriority w:val="99"/>
    <w:rPr>
      <w:rFonts w:hint="eastAsia" w:ascii="MingLiU" w:hAnsi="MingLiU" w:eastAsia="MingLiU"/>
      <w:b/>
      <w:color w:val="000000"/>
      <w:spacing w:val="14"/>
      <w:sz w:val="22"/>
    </w:rPr>
  </w:style>
  <w:style w:type="character" w:customStyle="1" w:styleId="181">
    <w:name w:val="正文文本 (6) + 间距 0 pt Exact"/>
    <w:unhideWhenUsed/>
    <w:qFormat/>
    <w:uiPriority w:val="99"/>
    <w:rPr>
      <w:rFonts w:hint="default" w:ascii="MingLiU" w:hAnsi="MingLiU" w:eastAsia="MingLiU"/>
      <w:b/>
      <w:spacing w:val="-5"/>
      <w:sz w:val="22"/>
      <w:lang w:val="en-US" w:eastAsia="en-US"/>
    </w:rPr>
  </w:style>
  <w:style w:type="character" w:customStyle="1" w:styleId="182">
    <w:name w:val="标题 #4_"/>
    <w:link w:val="183"/>
    <w:unhideWhenUsed/>
    <w:qFormat/>
    <w:uiPriority w:val="99"/>
    <w:rPr>
      <w:rFonts w:ascii="MingLiU" w:hAnsi="MingLiU" w:eastAsia="MingLiU"/>
      <w:sz w:val="27"/>
      <w:shd w:val="clear" w:color="auto" w:fill="FFFFFF"/>
    </w:rPr>
  </w:style>
  <w:style w:type="paragraph" w:customStyle="1" w:styleId="183">
    <w:name w:val="标题 #4"/>
    <w:basedOn w:val="1"/>
    <w:link w:val="182"/>
    <w:unhideWhenUsed/>
    <w:qFormat/>
    <w:uiPriority w:val="99"/>
    <w:pPr>
      <w:shd w:val="clear" w:color="auto" w:fill="FFFFFF"/>
      <w:spacing w:after="60" w:line="562" w:lineRule="exact"/>
      <w:outlineLvl w:val="3"/>
    </w:pPr>
    <w:rPr>
      <w:rFonts w:hint="eastAsia" w:ascii="MingLiU" w:hAnsi="MingLiU" w:eastAsia="MingLiU" w:cstheme="minorBidi"/>
      <w:snapToGrid/>
      <w:kern w:val="2"/>
      <w:sz w:val="27"/>
      <w:szCs w:val="22"/>
    </w:rPr>
  </w:style>
  <w:style w:type="character" w:customStyle="1" w:styleId="184">
    <w:name w:val="正文文本 (25)_"/>
    <w:link w:val="185"/>
    <w:unhideWhenUsed/>
    <w:qFormat/>
    <w:uiPriority w:val="99"/>
    <w:rPr>
      <w:rFonts w:ascii="MingLiU" w:hAnsi="MingLiU" w:eastAsia="MingLiU"/>
      <w:spacing w:val="-10"/>
      <w:sz w:val="27"/>
      <w:shd w:val="clear" w:color="auto" w:fill="FFFFFF"/>
      <w:lang w:eastAsia="en-US"/>
    </w:rPr>
  </w:style>
  <w:style w:type="paragraph" w:customStyle="1" w:styleId="185">
    <w:name w:val="正文文本 (25)"/>
    <w:basedOn w:val="1"/>
    <w:link w:val="184"/>
    <w:unhideWhenUsed/>
    <w:qFormat/>
    <w:uiPriority w:val="99"/>
    <w:pPr>
      <w:shd w:val="clear" w:color="auto" w:fill="FFFFFF"/>
      <w:spacing w:after="240" w:line="240" w:lineRule="atLeast"/>
    </w:pPr>
    <w:rPr>
      <w:rFonts w:ascii="MingLiU" w:hAnsi="MingLiU" w:eastAsia="MingLiU" w:cstheme="minorBidi"/>
      <w:snapToGrid/>
      <w:spacing w:val="-10"/>
      <w:kern w:val="2"/>
      <w:sz w:val="27"/>
      <w:szCs w:val="22"/>
      <w:lang w:eastAsia="en-US"/>
    </w:rPr>
  </w:style>
  <w:style w:type="character" w:customStyle="1" w:styleId="186">
    <w:name w:val="标题 2 Char Char"/>
    <w:qFormat/>
    <w:uiPriority w:val="0"/>
    <w:rPr>
      <w:rFonts w:ascii="Arial" w:hAnsi="Arial" w:eastAsia="黑体"/>
      <w:b/>
      <w:bCs/>
      <w:sz w:val="30"/>
      <w:szCs w:val="32"/>
    </w:rPr>
  </w:style>
  <w:style w:type="character" w:customStyle="1" w:styleId="187">
    <w:name w:val="font11"/>
    <w:qFormat/>
    <w:uiPriority w:val="0"/>
    <w:rPr>
      <w:rFonts w:hint="default" w:ascii="Times New Roman" w:hAnsi="Times New Roman" w:cs="Times New Roman"/>
      <w:color w:val="000000"/>
      <w:sz w:val="21"/>
      <w:szCs w:val="21"/>
      <w:u w:val="none"/>
    </w:rPr>
  </w:style>
  <w:style w:type="character" w:customStyle="1" w:styleId="188">
    <w:name w:val="图片标题 (11)_"/>
    <w:link w:val="189"/>
    <w:unhideWhenUsed/>
    <w:qFormat/>
    <w:uiPriority w:val="99"/>
    <w:rPr>
      <w:rFonts w:ascii="MingLiU" w:hAnsi="MingLiU" w:eastAsia="MingLiU"/>
      <w:spacing w:val="-10"/>
      <w:sz w:val="27"/>
      <w:shd w:val="clear" w:color="auto" w:fill="FFFFFF"/>
      <w:lang w:eastAsia="en-US"/>
    </w:rPr>
  </w:style>
  <w:style w:type="paragraph" w:customStyle="1" w:styleId="189">
    <w:name w:val="图片标题 (11)"/>
    <w:basedOn w:val="1"/>
    <w:link w:val="188"/>
    <w:unhideWhenUsed/>
    <w:qFormat/>
    <w:uiPriority w:val="99"/>
    <w:pPr>
      <w:shd w:val="clear" w:color="auto" w:fill="FFFFFF"/>
      <w:spacing w:line="240" w:lineRule="atLeast"/>
    </w:pPr>
    <w:rPr>
      <w:rFonts w:ascii="MingLiU" w:hAnsi="MingLiU" w:eastAsia="MingLiU" w:cstheme="minorBidi"/>
      <w:snapToGrid/>
      <w:spacing w:val="-10"/>
      <w:kern w:val="2"/>
      <w:sz w:val="27"/>
      <w:szCs w:val="22"/>
      <w:lang w:eastAsia="en-US"/>
    </w:rPr>
  </w:style>
  <w:style w:type="character" w:customStyle="1" w:styleId="190">
    <w:name w:val="标题11"/>
    <w:qFormat/>
    <w:uiPriority w:val="0"/>
    <w:rPr>
      <w:rFonts w:eastAsia="隶书"/>
      <w:b/>
      <w:sz w:val="44"/>
    </w:rPr>
  </w:style>
  <w:style w:type="character" w:customStyle="1" w:styleId="191">
    <w:name w:val="正文文本 (32) Exact"/>
    <w:link w:val="192"/>
    <w:unhideWhenUsed/>
    <w:qFormat/>
    <w:uiPriority w:val="99"/>
    <w:rPr>
      <w:rFonts w:ascii="Gungsuh" w:hAnsi="Gungsuh" w:eastAsia="Gungsuh"/>
      <w:spacing w:val="-25"/>
      <w:sz w:val="20"/>
      <w:shd w:val="clear" w:color="auto" w:fill="FFFFFF"/>
      <w:lang w:eastAsia="en-US"/>
    </w:rPr>
  </w:style>
  <w:style w:type="paragraph" w:customStyle="1" w:styleId="192">
    <w:name w:val="正文文本 (32)"/>
    <w:basedOn w:val="1"/>
    <w:link w:val="191"/>
    <w:unhideWhenUsed/>
    <w:qFormat/>
    <w:uiPriority w:val="99"/>
    <w:pPr>
      <w:shd w:val="clear" w:color="auto" w:fill="FFFFFF"/>
      <w:spacing w:before="60" w:line="240" w:lineRule="atLeast"/>
    </w:pPr>
    <w:rPr>
      <w:rFonts w:ascii="Gungsuh" w:hAnsi="Gungsuh" w:eastAsia="Gungsuh" w:cstheme="minorBidi"/>
      <w:snapToGrid/>
      <w:spacing w:val="-25"/>
      <w:kern w:val="2"/>
      <w:sz w:val="20"/>
      <w:szCs w:val="22"/>
      <w:lang w:eastAsia="en-US"/>
    </w:rPr>
  </w:style>
  <w:style w:type="character" w:customStyle="1" w:styleId="193">
    <w:name w:val="阿达地方 字符"/>
    <w:basedOn w:val="82"/>
    <w:link w:val="129"/>
    <w:qFormat/>
    <w:uiPriority w:val="0"/>
    <w:rPr>
      <w:rFonts w:ascii="Times New Roman" w:hAnsi="Times New Roman" w:eastAsia="宋体" w:cs="Times New Roman"/>
      <w:snapToGrid w:val="0"/>
      <w:color w:val="000000"/>
      <w:kern w:val="0"/>
      <w:sz w:val="30"/>
      <w:szCs w:val="20"/>
    </w:rPr>
  </w:style>
  <w:style w:type="character" w:customStyle="1" w:styleId="194">
    <w:name w:val="正文文本 (29) Exact"/>
    <w:unhideWhenUsed/>
    <w:qFormat/>
    <w:uiPriority w:val="99"/>
    <w:rPr>
      <w:rFonts w:hint="default" w:ascii="MingLiU" w:hAnsi="MingLiU" w:eastAsia="MingLiU"/>
      <w:spacing w:val="-16"/>
      <w:sz w:val="19"/>
      <w:lang w:val="en-US" w:eastAsia="en-US"/>
    </w:rPr>
  </w:style>
  <w:style w:type="character" w:customStyle="1" w:styleId="195">
    <w:name w:val="二级标题 Char"/>
    <w:link w:val="196"/>
    <w:qFormat/>
    <w:uiPriority w:val="0"/>
    <w:rPr>
      <w:sz w:val="28"/>
    </w:rPr>
  </w:style>
  <w:style w:type="paragraph" w:customStyle="1" w:styleId="196">
    <w:name w:val="二级标题"/>
    <w:basedOn w:val="1"/>
    <w:next w:val="1"/>
    <w:link w:val="195"/>
    <w:qFormat/>
    <w:uiPriority w:val="0"/>
    <w:pPr>
      <w:keepNext/>
      <w:adjustRightInd w:val="0"/>
      <w:spacing w:before="240" w:after="240" w:line="312" w:lineRule="atLeast"/>
      <w:jc w:val="center"/>
      <w:textAlignment w:val="baseline"/>
    </w:pPr>
    <w:rPr>
      <w:rFonts w:asciiTheme="minorHAnsi" w:hAnsiTheme="minorHAnsi" w:eastAsiaTheme="minorEastAsia" w:cstheme="minorBidi"/>
      <w:snapToGrid/>
      <w:kern w:val="2"/>
      <w:szCs w:val="22"/>
    </w:rPr>
  </w:style>
  <w:style w:type="character" w:customStyle="1" w:styleId="197">
    <w:name w:val="条文[858D7CFB-ED40-4347-BF05-701D383B685F]1"/>
    <w:link w:val="198"/>
    <w:qFormat/>
    <w:uiPriority w:val="0"/>
  </w:style>
  <w:style w:type="paragraph" w:customStyle="1" w:styleId="198">
    <w:name w:val="条文"/>
    <w:basedOn w:val="1"/>
    <w:link w:val="197"/>
    <w:qFormat/>
    <w:uiPriority w:val="0"/>
    <w:rPr>
      <w:rFonts w:asciiTheme="minorHAnsi" w:hAnsiTheme="minorHAnsi" w:eastAsiaTheme="minorEastAsia" w:cstheme="minorBidi"/>
      <w:snapToGrid/>
      <w:kern w:val="2"/>
      <w:sz w:val="21"/>
      <w:szCs w:val="22"/>
    </w:rPr>
  </w:style>
  <w:style w:type="character" w:customStyle="1" w:styleId="199">
    <w:name w:val="样式 标题 2 + 黑色 Char Char"/>
    <w:link w:val="200"/>
    <w:qFormat/>
    <w:uiPriority w:val="0"/>
    <w:rPr>
      <w:rFonts w:ascii="Arial" w:hAnsi="Arial" w:eastAsia="宋体" w:cs="宋体-方正超大字符集"/>
      <w:b/>
      <w:bCs/>
      <w:color w:val="000000"/>
      <w:sz w:val="28"/>
      <w:szCs w:val="32"/>
    </w:rPr>
  </w:style>
  <w:style w:type="paragraph" w:customStyle="1" w:styleId="200">
    <w:name w:val="样式 标题 2 + 黑色"/>
    <w:basedOn w:val="4"/>
    <w:link w:val="199"/>
    <w:qFormat/>
    <w:uiPriority w:val="0"/>
    <w:pPr>
      <w:adjustRightInd w:val="0"/>
      <w:spacing w:after="60" w:line="480" w:lineRule="atLeast"/>
      <w:ind w:left="2889" w:hanging="2322"/>
      <w:jc w:val="left"/>
      <w:textAlignment w:val="baseline"/>
    </w:pPr>
    <w:rPr>
      <w:rFonts w:ascii="Arial" w:hAnsi="Arial" w:cs="宋体-方正超大字符集"/>
      <w:snapToGrid/>
      <w:kern w:val="2"/>
      <w:sz w:val="28"/>
      <w:szCs w:val="32"/>
    </w:rPr>
  </w:style>
  <w:style w:type="character" w:customStyle="1" w:styleId="201">
    <w:name w:val="font01"/>
    <w:qFormat/>
    <w:uiPriority w:val="0"/>
    <w:rPr>
      <w:rFonts w:hint="eastAsia" w:ascii="宋体" w:hAnsi="宋体" w:eastAsia="宋体" w:cs="宋体"/>
      <w:color w:val="000000"/>
      <w:sz w:val="21"/>
      <w:szCs w:val="21"/>
      <w:u w:val="none"/>
    </w:rPr>
  </w:style>
  <w:style w:type="paragraph" w:customStyle="1" w:styleId="202">
    <w:name w:val="图"/>
    <w:basedOn w:val="17"/>
    <w:next w:val="1"/>
    <w:qFormat/>
    <w:uiPriority w:val="0"/>
    <w:pPr>
      <w:widowControl w:val="0"/>
      <w:spacing w:line="360" w:lineRule="exact"/>
      <w:ind w:firstLine="0"/>
      <w:jc w:val="center"/>
    </w:pPr>
    <w:rPr>
      <w:kern w:val="2"/>
      <w:sz w:val="21"/>
      <w:szCs w:val="24"/>
    </w:rPr>
  </w:style>
  <w:style w:type="paragraph" w:customStyle="1" w:styleId="203">
    <w:name w:val="样式 正文文本缩进 2 + 行距: 单倍行距"/>
    <w:basedOn w:val="35"/>
    <w:qFormat/>
    <w:uiPriority w:val="0"/>
    <w:pPr>
      <w:topLinePunct/>
      <w:spacing w:line="500" w:lineRule="exact"/>
      <w:ind w:firstLine="560"/>
    </w:pPr>
    <w:rPr>
      <w:bCs/>
      <w:snapToGrid/>
      <w:kern w:val="2"/>
    </w:rPr>
  </w:style>
  <w:style w:type="paragraph" w:customStyle="1" w:styleId="204">
    <w:name w:val="Header or footer|1"/>
    <w:basedOn w:val="1"/>
    <w:qFormat/>
    <w:uiPriority w:val="0"/>
    <w:rPr>
      <w:sz w:val="19"/>
      <w:szCs w:val="19"/>
      <w:lang w:val="zh-TW" w:eastAsia="zh-TW" w:bidi="zh-TW"/>
    </w:rPr>
  </w:style>
  <w:style w:type="paragraph" w:customStyle="1" w:styleId="205">
    <w:name w:val="xl3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snapToGrid/>
    </w:rPr>
  </w:style>
  <w:style w:type="paragraph" w:customStyle="1" w:styleId="206">
    <w:name w:val="标题 3 + 黑体"/>
    <w:basedOn w:val="5"/>
    <w:qFormat/>
    <w:uiPriority w:val="0"/>
    <w:pPr>
      <w:keepNext w:val="0"/>
      <w:keepLines w:val="0"/>
      <w:spacing w:before="240" w:beforeLines="100" w:line="300" w:lineRule="auto"/>
    </w:pPr>
    <w:rPr>
      <w:rFonts w:ascii="黑体" w:hAnsi="黑体" w:eastAsia="黑体"/>
      <w:sz w:val="28"/>
    </w:rPr>
  </w:style>
  <w:style w:type="paragraph" w:customStyle="1" w:styleId="207">
    <w:name w:val="Char Char Char Char"/>
    <w:basedOn w:val="1"/>
    <w:qFormat/>
    <w:uiPriority w:val="0"/>
    <w:pPr>
      <w:widowControl/>
      <w:spacing w:after="160" w:line="240" w:lineRule="exact"/>
      <w:jc w:val="left"/>
    </w:pPr>
    <w:rPr>
      <w:rFonts w:ascii="Verdana" w:hAnsi="Verdana"/>
      <w:snapToGrid/>
      <w:sz w:val="20"/>
      <w:szCs w:val="20"/>
      <w:lang w:eastAsia="en-US"/>
    </w:rPr>
  </w:style>
  <w:style w:type="paragraph" w:customStyle="1" w:styleId="208">
    <w:name w:val="样式 标题 2 + 左侧:  0 厘米 首行缩进:  0 厘米"/>
    <w:basedOn w:val="4"/>
    <w:qFormat/>
    <w:uiPriority w:val="0"/>
    <w:pPr>
      <w:spacing w:before="30" w:after="30" w:line="420" w:lineRule="auto"/>
    </w:pPr>
    <w:rPr>
      <w:rFonts w:ascii="Arial" w:hAnsi="Arial" w:cs="宋体"/>
      <w:snapToGrid/>
      <w:color w:val="auto"/>
      <w:spacing w:val="14"/>
      <w:kern w:val="2"/>
      <w:sz w:val="28"/>
      <w:szCs w:val="30"/>
    </w:rPr>
  </w:style>
  <w:style w:type="paragraph" w:customStyle="1" w:styleId="209">
    <w:name w:val="表格"/>
    <w:basedOn w:val="1"/>
    <w:qFormat/>
    <w:uiPriority w:val="0"/>
    <w:pPr>
      <w:jc w:val="center"/>
    </w:pPr>
    <w:rPr>
      <w:b/>
      <w:snapToGrid/>
      <w:kern w:val="2"/>
      <w:sz w:val="18"/>
      <w:szCs w:val="20"/>
    </w:rPr>
  </w:style>
  <w:style w:type="paragraph" w:customStyle="1" w:styleId="210">
    <w:name w:val="样式 表格内容 + 宋体 居中1"/>
    <w:basedOn w:val="1"/>
    <w:qFormat/>
    <w:uiPriority w:val="0"/>
    <w:pPr>
      <w:jc w:val="center"/>
    </w:pPr>
    <w:rPr>
      <w:rFonts w:ascii="宋体" w:hAnsi="宋体" w:cs="宋体"/>
      <w:snapToGrid/>
    </w:rPr>
  </w:style>
  <w:style w:type="paragraph" w:customStyle="1" w:styleId="211">
    <w:name w:val="正文文本 (26)"/>
    <w:basedOn w:val="1"/>
    <w:unhideWhenUsed/>
    <w:qFormat/>
    <w:uiPriority w:val="99"/>
    <w:pPr>
      <w:shd w:val="clear" w:color="auto" w:fill="FFFFFF"/>
      <w:spacing w:after="240" w:line="240" w:lineRule="atLeast"/>
    </w:pPr>
    <w:rPr>
      <w:rFonts w:hint="eastAsia" w:ascii="MingLiU" w:hAnsi="MingLiU" w:eastAsia="MingLiU"/>
      <w:spacing w:val="-10"/>
      <w:sz w:val="21"/>
    </w:rPr>
  </w:style>
  <w:style w:type="paragraph" w:customStyle="1" w:styleId="212">
    <w:name w:val="四级标题"/>
    <w:next w:val="1"/>
    <w:qFormat/>
    <w:uiPriority w:val="0"/>
    <w:pPr>
      <w:adjustRightInd w:val="0"/>
      <w:snapToGrid w:val="0"/>
      <w:spacing w:before="30" w:beforeLines="30" w:after="30" w:afterLines="30"/>
      <w:outlineLvl w:val="3"/>
    </w:pPr>
    <w:rPr>
      <w:rFonts w:ascii="Times New Roman" w:hAnsi="Times New Roman" w:eastAsia="黑体" w:cs="Times New Roman"/>
      <w:kern w:val="2"/>
      <w:sz w:val="24"/>
      <w:szCs w:val="24"/>
      <w:lang w:val="en-US" w:eastAsia="zh-CN" w:bidi="ar-SA"/>
    </w:rPr>
  </w:style>
  <w:style w:type="paragraph" w:customStyle="1" w:styleId="213">
    <w:name w:val="Char Char Char"/>
    <w:basedOn w:val="1"/>
    <w:next w:val="2"/>
    <w:qFormat/>
    <w:uiPriority w:val="0"/>
    <w:rPr>
      <w:snapToGrid/>
      <w:kern w:val="2"/>
    </w:rPr>
  </w:style>
  <w:style w:type="paragraph" w:customStyle="1" w:styleId="214">
    <w:name w:val="样式0"/>
    <w:basedOn w:val="1"/>
    <w:qFormat/>
    <w:uiPriority w:val="0"/>
    <w:pPr>
      <w:spacing w:line="500" w:lineRule="exact"/>
      <w:ind w:firstLine="200"/>
    </w:pPr>
    <w:rPr>
      <w:rFonts w:ascii="宋体" w:hAnsi="宋体" w:cs="宋体-方正超大字符集"/>
      <w:snapToGrid/>
      <w:kern w:val="2"/>
    </w:rPr>
  </w:style>
  <w:style w:type="paragraph" w:customStyle="1" w:styleId="215">
    <w:name w:val="样式 标题 3 + (西文) 仿宋_GB2312 (中文) 仿宋_GB2312 四号 段前: 4 磅 段后: 4 磅 ..."/>
    <w:basedOn w:val="5"/>
    <w:qFormat/>
    <w:uiPriority w:val="0"/>
    <w:pPr>
      <w:numPr>
        <w:ilvl w:val="0"/>
        <w:numId w:val="0"/>
      </w:numPr>
      <w:tabs>
        <w:tab w:val="left" w:pos="420"/>
        <w:tab w:val="left" w:pos="907"/>
      </w:tabs>
      <w:spacing w:beforeLines="100" w:line="500" w:lineRule="atLeast"/>
      <w:ind w:left="425" w:hanging="425"/>
      <w:jc w:val="left"/>
    </w:pPr>
    <w:rPr>
      <w:rFonts w:ascii="仿宋_GB2312" w:eastAsia="仿宋_GB2312" w:cs="宋体"/>
      <w:b w:val="0"/>
      <w:snapToGrid/>
      <w:kern w:val="2"/>
      <w:sz w:val="28"/>
    </w:rPr>
  </w:style>
  <w:style w:type="paragraph" w:customStyle="1" w:styleId="216">
    <w:name w:val="样式 四号 桔黄 行距: 1.5 倍行距 首行缩进:  2 字符"/>
    <w:basedOn w:val="1"/>
    <w:qFormat/>
    <w:uiPriority w:val="0"/>
    <w:pPr>
      <w:adjustRightInd w:val="0"/>
      <w:ind w:firstLine="200"/>
      <w:textAlignment w:val="baseline"/>
    </w:pPr>
    <w:rPr>
      <w:rFonts w:ascii="宋体" w:hAnsi="宋体" w:cs="宋体"/>
      <w:snapToGrid/>
      <w:color w:val="FF6600"/>
      <w:szCs w:val="20"/>
    </w:rPr>
  </w:style>
  <w:style w:type="paragraph" w:customStyle="1" w:styleId="217">
    <w:name w:val="Char Char Char1 Char Char Char1 Char Char Char Char Char Char1 Char Char Char Char Char Char Char"/>
    <w:basedOn w:val="1"/>
    <w:semiHidden/>
    <w:qFormat/>
    <w:uiPriority w:val="0"/>
    <w:rPr>
      <w:snapToGrid/>
      <w:kern w:val="2"/>
      <w:sz w:val="21"/>
    </w:rPr>
  </w:style>
  <w:style w:type="paragraph" w:customStyle="1" w:styleId="218">
    <w:name w:val="方框"/>
    <w:basedOn w:val="1"/>
    <w:qFormat/>
    <w:uiPriority w:val="0"/>
    <w:pPr>
      <w:widowControl/>
      <w:spacing w:line="240" w:lineRule="atLeast"/>
    </w:pPr>
    <w:rPr>
      <w:rFonts w:ascii="宋体"/>
      <w:snapToGrid/>
      <w:szCs w:val="20"/>
    </w:rPr>
  </w:style>
  <w:style w:type="paragraph" w:customStyle="1" w:styleId="219">
    <w:name w:val="标题3"/>
    <w:basedOn w:val="1"/>
    <w:qFormat/>
    <w:uiPriority w:val="0"/>
    <w:pPr>
      <w:spacing w:line="720" w:lineRule="auto"/>
      <w:jc w:val="center"/>
      <w:outlineLvl w:val="0"/>
    </w:pPr>
    <w:rPr>
      <w:rFonts w:ascii="宋体" w:hAnsi="宋体"/>
      <w:b/>
      <w:bCs/>
      <w:snapToGrid/>
      <w:kern w:val="2"/>
      <w:sz w:val="32"/>
    </w:rPr>
  </w:style>
  <w:style w:type="paragraph" w:customStyle="1" w:styleId="220">
    <w:name w:val="xl29"/>
    <w:basedOn w:val="1"/>
    <w:qFormat/>
    <w:uiPriority w:val="0"/>
    <w:pPr>
      <w:widowControl/>
      <w:pBdr>
        <w:left w:val="single" w:color="auto" w:sz="4" w:space="0"/>
        <w:right w:val="single" w:color="auto" w:sz="4" w:space="0"/>
      </w:pBdr>
      <w:spacing w:before="100" w:beforeAutospacing="1" w:after="100" w:afterAutospacing="1"/>
      <w:jc w:val="center"/>
    </w:pPr>
    <w:rPr>
      <w:rFonts w:hint="eastAsia" w:ascii="宋体" w:hAnsi="宋体"/>
      <w:snapToGrid/>
    </w:rPr>
  </w:style>
  <w:style w:type="paragraph" w:customStyle="1" w:styleId="221">
    <w:name w:val="Body text|1"/>
    <w:basedOn w:val="1"/>
    <w:qFormat/>
    <w:uiPriority w:val="0"/>
    <w:pPr>
      <w:spacing w:after="240" w:line="439" w:lineRule="auto"/>
      <w:ind w:firstLine="400"/>
    </w:pPr>
    <w:rPr>
      <w:rFonts w:ascii="宋体" w:hAnsi="宋体" w:cs="宋体"/>
      <w:sz w:val="22"/>
      <w:szCs w:val="22"/>
      <w:lang w:val="zh-TW" w:eastAsia="zh-TW" w:bidi="zh-TW"/>
    </w:rPr>
  </w:style>
  <w:style w:type="paragraph" w:customStyle="1" w:styleId="222">
    <w:name w:val="- 页码 -"/>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3">
    <w:name w:val="标题5"/>
    <w:basedOn w:val="1"/>
    <w:qFormat/>
    <w:uiPriority w:val="0"/>
    <w:pPr>
      <w:outlineLvl w:val="2"/>
    </w:pPr>
    <w:rPr>
      <w:rFonts w:ascii="黑体" w:eastAsia="黑体"/>
      <w:b/>
      <w:snapToGrid/>
      <w:kern w:val="2"/>
    </w:rPr>
  </w:style>
  <w:style w:type="paragraph" w:customStyle="1" w:styleId="224">
    <w:name w:val="cjh"/>
    <w:basedOn w:val="1"/>
    <w:next w:val="1"/>
    <w:qFormat/>
    <w:uiPriority w:val="0"/>
    <w:pPr>
      <w:keepLines/>
      <w:suppressLineNumbers/>
      <w:suppressAutoHyphens/>
      <w:jc w:val="center"/>
      <w:outlineLvl w:val="0"/>
    </w:pPr>
    <w:rPr>
      <w:rFonts w:hint="eastAsia" w:ascii="宋体"/>
      <w:snapToGrid/>
      <w:kern w:val="24"/>
      <w:sz w:val="21"/>
      <w:szCs w:val="20"/>
    </w:rPr>
  </w:style>
  <w:style w:type="paragraph" w:customStyle="1" w:styleId="225">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26">
    <w:name w:val="Char Char Char Char Char Char Char"/>
    <w:basedOn w:val="1"/>
    <w:semiHidden/>
    <w:qFormat/>
    <w:uiPriority w:val="0"/>
    <w:rPr>
      <w:snapToGrid/>
      <w:kern w:val="2"/>
      <w:sz w:val="18"/>
      <w:szCs w:val="18"/>
    </w:rPr>
  </w:style>
  <w:style w:type="paragraph" w:customStyle="1" w:styleId="227">
    <w:name w:val="Char2 Char Char Char Char Char Char"/>
    <w:basedOn w:val="1"/>
    <w:qFormat/>
    <w:uiPriority w:val="0"/>
    <w:pPr>
      <w:autoSpaceDE w:val="0"/>
      <w:autoSpaceDN w:val="0"/>
      <w:adjustRightInd w:val="0"/>
      <w:spacing w:before="50" w:after="50"/>
    </w:pPr>
    <w:rPr>
      <w:rFonts w:eastAsia="仿宋_GB2312"/>
      <w:snapToGrid/>
      <w:kern w:val="2"/>
    </w:rPr>
  </w:style>
  <w:style w:type="paragraph" w:customStyle="1" w:styleId="228">
    <w:name w:val="样式 样式 标题 3 + 桔黄 + (西文) 宋体 自动设置1"/>
    <w:basedOn w:val="1"/>
    <w:qFormat/>
    <w:uiPriority w:val="0"/>
    <w:pPr>
      <w:keepNext/>
      <w:keepLines/>
      <w:adjustRightInd w:val="0"/>
      <w:spacing w:before="100" w:after="100" w:line="416" w:lineRule="atLeast"/>
      <w:ind w:left="900"/>
      <w:textAlignment w:val="baseline"/>
      <w:outlineLvl w:val="2"/>
    </w:pPr>
    <w:rPr>
      <w:rFonts w:ascii="宋体" w:hAnsi="宋体" w:cs="宋体-方正超大字符集"/>
      <w:b/>
      <w:snapToGrid/>
      <w:szCs w:val="32"/>
    </w:rPr>
  </w:style>
  <w:style w:type="paragraph" w:customStyle="1" w:styleId="229">
    <w:name w:val="样式 标题 1"/>
    <w:basedOn w:val="3"/>
    <w:qFormat/>
    <w:uiPriority w:val="0"/>
    <w:pPr>
      <w:spacing w:before="240" w:after="240"/>
      <w:ind w:firstLine="288"/>
    </w:pPr>
    <w:rPr>
      <w:rFonts w:eastAsia="仿宋_GB2312"/>
      <w:bCs w:val="0"/>
      <w:snapToGrid/>
      <w:sz w:val="32"/>
      <w:szCs w:val="20"/>
    </w:rPr>
  </w:style>
  <w:style w:type="paragraph" w:customStyle="1" w:styleId="230">
    <w:name w:val="BIG BOLD"/>
    <w:basedOn w:val="1"/>
    <w:qFormat/>
    <w:uiPriority w:val="0"/>
    <w:pPr>
      <w:tabs>
        <w:tab w:val="left" w:leader="underscore" w:pos="1134"/>
      </w:tabs>
    </w:pPr>
    <w:rPr>
      <w:snapToGrid/>
      <w:kern w:val="2"/>
      <w:sz w:val="21"/>
      <w:szCs w:val="20"/>
    </w:rPr>
  </w:style>
  <w:style w:type="paragraph" w:customStyle="1" w:styleId="231">
    <w:name w:val="Header or footer|2"/>
    <w:basedOn w:val="1"/>
    <w:qFormat/>
    <w:uiPriority w:val="0"/>
    <w:rPr>
      <w:sz w:val="20"/>
      <w:szCs w:val="20"/>
    </w:rPr>
  </w:style>
  <w:style w:type="paragraph" w:customStyle="1" w:styleId="232">
    <w:name w:val="其它"/>
    <w:basedOn w:val="1"/>
    <w:qFormat/>
    <w:uiPriority w:val="0"/>
    <w:rPr>
      <w:rFonts w:ascii="宋体"/>
      <w:snapToGrid/>
      <w:kern w:val="2"/>
    </w:rPr>
  </w:style>
  <w:style w:type="paragraph" w:customStyle="1" w:styleId="233">
    <w:name w:val="Char Char Char Char Char Char"/>
    <w:basedOn w:val="1"/>
    <w:next w:val="2"/>
    <w:qFormat/>
    <w:uiPriority w:val="0"/>
    <w:rPr>
      <w:snapToGrid/>
      <w:kern w:val="2"/>
    </w:rPr>
  </w:style>
  <w:style w:type="paragraph" w:customStyle="1" w:styleId="234">
    <w:name w:val="Char Char Char Char Char Char1 Char Char Char Char"/>
    <w:basedOn w:val="1"/>
    <w:qFormat/>
    <w:uiPriority w:val="0"/>
    <w:rPr>
      <w:snapToGrid/>
      <w:kern w:val="2"/>
    </w:rPr>
  </w:style>
  <w:style w:type="paragraph" w:customStyle="1" w:styleId="235">
    <w:name w:val="样式2"/>
    <w:basedOn w:val="38"/>
    <w:qFormat/>
    <w:uiPriority w:val="0"/>
    <w:pPr>
      <w:pBdr>
        <w:top w:val="thickThinSmallGap" w:color="auto" w:sz="18" w:space="1"/>
        <w:bottom w:val="single" w:color="auto" w:sz="6" w:space="3"/>
      </w:pBdr>
      <w:ind w:firstLine="450" w:firstLineChars="250"/>
      <w:jc w:val="both"/>
    </w:pPr>
    <w:rPr>
      <w:snapToGrid/>
      <w:kern w:val="2"/>
    </w:rPr>
  </w:style>
  <w:style w:type="paragraph" w:customStyle="1" w:styleId="236">
    <w:name w:val="xl22"/>
    <w:basedOn w:val="1"/>
    <w:qFormat/>
    <w:uiPriority w:val="0"/>
    <w:pPr>
      <w:widowControl/>
      <w:pBdr>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napToGrid/>
    </w:rPr>
  </w:style>
  <w:style w:type="paragraph" w:customStyle="1" w:styleId="237">
    <w:name w:val="样式1"/>
    <w:basedOn w:val="25"/>
    <w:next w:val="56"/>
    <w:qFormat/>
    <w:uiPriority w:val="0"/>
    <w:pPr>
      <w:spacing w:line="236" w:lineRule="exact"/>
      <w:jc w:val="center"/>
    </w:pPr>
    <w:rPr>
      <w:snapToGrid/>
      <w:kern w:val="2"/>
      <w:sz w:val="21"/>
      <w:lang w:val="en-GB"/>
    </w:rPr>
  </w:style>
  <w:style w:type="paragraph" w:customStyle="1" w:styleId="238">
    <w:name w:val="说明书标题"/>
    <w:basedOn w:val="1"/>
    <w:next w:val="1"/>
    <w:qFormat/>
    <w:uiPriority w:val="0"/>
    <w:pPr>
      <w:numPr>
        <w:ilvl w:val="0"/>
        <w:numId w:val="5"/>
      </w:numPr>
      <w:tabs>
        <w:tab w:val="left" w:pos="210"/>
        <w:tab w:val="left" w:pos="360"/>
      </w:tabs>
      <w:spacing w:line="520" w:lineRule="exact"/>
    </w:pPr>
    <w:rPr>
      <w:rFonts w:ascii="Trebuchet MS" w:hAnsi="Trebuchet MS" w:eastAsia="黑体"/>
      <w:snapToGrid/>
      <w:kern w:val="2"/>
      <w:szCs w:val="20"/>
    </w:rPr>
  </w:style>
  <w:style w:type="paragraph" w:customStyle="1" w:styleId="239">
    <w:name w:val="目录"/>
    <w:basedOn w:val="1"/>
    <w:qFormat/>
    <w:uiPriority w:val="0"/>
    <w:pPr>
      <w:spacing w:before="240" w:after="600" w:line="560" w:lineRule="exact"/>
      <w:jc w:val="center"/>
    </w:pPr>
    <w:rPr>
      <w:rFonts w:eastAsia="黑体"/>
      <w:snapToGrid/>
      <w:kern w:val="2"/>
      <w:sz w:val="32"/>
      <w:szCs w:val="20"/>
    </w:rPr>
  </w:style>
  <w:style w:type="paragraph" w:customStyle="1" w:styleId="240">
    <w:name w:val="样式 标题 2 + (西文) Arial (中文) 仿宋_GB2312 小三 左侧:  0 厘米 首行缩进:  0 厘米..."/>
    <w:basedOn w:val="4"/>
    <w:qFormat/>
    <w:uiPriority w:val="0"/>
    <w:pPr>
      <w:tabs>
        <w:tab w:val="left" w:pos="680"/>
      </w:tabs>
      <w:adjustRightInd w:val="0"/>
      <w:ind w:left="680" w:hanging="680"/>
      <w:jc w:val="left"/>
    </w:pPr>
    <w:rPr>
      <w:rFonts w:eastAsia="仿宋_GB2312" w:cs="Times New Roman"/>
      <w:b w:val="0"/>
      <w:color w:val="auto"/>
      <w:kern w:val="2"/>
      <w:sz w:val="30"/>
      <w:szCs w:val="30"/>
    </w:rPr>
  </w:style>
  <w:style w:type="paragraph" w:customStyle="1" w:styleId="241">
    <w:name w:val="Char Char Char Char Char Char Char Char Char Char Char Char Char Char Char Char Char Char Char Char Char Char"/>
    <w:basedOn w:val="1"/>
    <w:next w:val="2"/>
    <w:qFormat/>
    <w:uiPriority w:val="0"/>
    <w:rPr>
      <w:snapToGrid/>
      <w:kern w:val="2"/>
    </w:rPr>
  </w:style>
  <w:style w:type="paragraph" w:customStyle="1" w:styleId="242">
    <w:name w:val="Char2"/>
    <w:basedOn w:val="1"/>
    <w:qFormat/>
    <w:uiPriority w:val="0"/>
    <w:rPr>
      <w:rFonts w:eastAsia="仿宋_GB2312"/>
      <w:snapToGrid/>
      <w:kern w:val="2"/>
      <w:szCs w:val="20"/>
    </w:rPr>
  </w:style>
  <w:style w:type="paragraph" w:customStyle="1" w:styleId="243">
    <w:name w:val="表"/>
    <w:basedOn w:val="1"/>
    <w:qFormat/>
    <w:uiPriority w:val="0"/>
    <w:pPr>
      <w:spacing w:line="300" w:lineRule="auto"/>
    </w:pPr>
    <w:rPr>
      <w:rFonts w:eastAsia="仿宋_GB2312"/>
      <w:bCs/>
      <w:snapToGrid/>
      <w:kern w:val="2"/>
    </w:rPr>
  </w:style>
  <w:style w:type="paragraph" w:customStyle="1" w:styleId="244">
    <w:name w:val="样式 标题 1 + (中文) 仿宋_GB2312 三号 居中 段前: 12 磅 段后: 12 磅 行距: 1.5 倍行距"/>
    <w:basedOn w:val="3"/>
    <w:qFormat/>
    <w:uiPriority w:val="0"/>
    <w:pPr>
      <w:tabs>
        <w:tab w:val="left" w:pos="567"/>
        <w:tab w:val="left" w:pos="1963"/>
      </w:tabs>
      <w:spacing w:before="240" w:after="240"/>
      <w:ind w:left="567" w:hanging="567"/>
    </w:pPr>
    <w:rPr>
      <w:rFonts w:eastAsia="仿宋_GB2312"/>
      <w:bCs w:val="0"/>
      <w:snapToGrid/>
      <w:sz w:val="32"/>
      <w:szCs w:val="20"/>
    </w:rPr>
  </w:style>
  <w:style w:type="paragraph" w:customStyle="1" w:styleId="245">
    <w:name w:val="内容"/>
    <w:basedOn w:val="1"/>
    <w:qFormat/>
    <w:uiPriority w:val="0"/>
    <w:pPr>
      <w:spacing w:line="280" w:lineRule="atLeast"/>
      <w:jc w:val="center"/>
    </w:pPr>
    <w:rPr>
      <w:snapToGrid/>
      <w:kern w:val="2"/>
      <w:szCs w:val="20"/>
    </w:rPr>
  </w:style>
  <w:style w:type="paragraph" w:customStyle="1" w:styleId="246">
    <w:name w:val="bigbold"/>
    <w:basedOn w:val="1"/>
    <w:qFormat/>
    <w:uiPriority w:val="0"/>
    <w:pPr>
      <w:widowControl/>
      <w:spacing w:before="100" w:beforeAutospacing="1" w:after="100" w:afterAutospacing="1"/>
      <w:jc w:val="left"/>
    </w:pPr>
    <w:rPr>
      <w:rFonts w:hint="eastAsia" w:ascii="宋体" w:hAnsi="宋体"/>
      <w:snapToGrid/>
    </w:rPr>
  </w:style>
  <w:style w:type="paragraph" w:customStyle="1" w:styleId="247">
    <w:name w:val="xl27"/>
    <w:basedOn w:val="1"/>
    <w:semiHidden/>
    <w:qFormat/>
    <w:uiPriority w:val="0"/>
    <w:pPr>
      <w:widowControl/>
      <w:spacing w:before="100" w:after="100"/>
      <w:jc w:val="center"/>
      <w:textAlignment w:val="center"/>
    </w:pPr>
    <w:rPr>
      <w:rFonts w:ascii="宋体" w:hAnsi="宋体"/>
      <w:snapToGrid/>
      <w:szCs w:val="20"/>
    </w:rPr>
  </w:style>
  <w:style w:type="paragraph" w:customStyle="1" w:styleId="248">
    <w:name w:val="Heading #2|1"/>
    <w:basedOn w:val="1"/>
    <w:qFormat/>
    <w:uiPriority w:val="0"/>
    <w:pPr>
      <w:spacing w:after="130"/>
      <w:outlineLvl w:val="1"/>
    </w:pPr>
    <w:rPr>
      <w:rFonts w:ascii="宋体" w:hAnsi="宋体" w:cs="宋体"/>
      <w:sz w:val="30"/>
      <w:szCs w:val="30"/>
      <w:lang w:val="zh-TW" w:eastAsia="zh-TW" w:bidi="zh-TW"/>
    </w:rPr>
  </w:style>
  <w:style w:type="paragraph" w:customStyle="1" w:styleId="249">
    <w:name w:val="样式 (西文) 仿宋_GB2312 (中文) 仿宋_GB2312 一号 加粗 居中 行距: 1.5 倍行距"/>
    <w:basedOn w:val="1"/>
    <w:qFormat/>
    <w:uiPriority w:val="0"/>
    <w:pPr>
      <w:jc w:val="center"/>
    </w:pPr>
    <w:rPr>
      <w:rFonts w:ascii="仿宋_GB2312"/>
      <w:b/>
      <w:bCs/>
      <w:snapToGrid/>
      <w:kern w:val="2"/>
      <w:sz w:val="52"/>
      <w:szCs w:val="20"/>
    </w:rPr>
  </w:style>
  <w:style w:type="paragraph" w:customStyle="1" w:styleId="250">
    <w:name w:val="Char Char Char Char Char Char2 Char Char Char Char Char Char2 Char Char Char2 Char"/>
    <w:basedOn w:val="1"/>
    <w:qFormat/>
    <w:uiPriority w:val="0"/>
    <w:pPr>
      <w:autoSpaceDE w:val="0"/>
      <w:autoSpaceDN w:val="0"/>
      <w:adjustRightInd w:val="0"/>
      <w:spacing w:before="50" w:after="50"/>
    </w:pPr>
    <w:rPr>
      <w:rFonts w:ascii="仿宋_GB2312" w:hAnsi="仿宋_GB2312" w:eastAsia="仿宋_GB2312"/>
      <w:snapToGrid/>
      <w:kern w:val="2"/>
    </w:rPr>
  </w:style>
  <w:style w:type="paragraph" w:customStyle="1" w:styleId="251">
    <w:name w:val="Char Char Char Char Char Char Char Char Char Char Char Char"/>
    <w:basedOn w:val="1"/>
    <w:next w:val="2"/>
    <w:qFormat/>
    <w:uiPriority w:val="0"/>
    <w:rPr>
      <w:snapToGrid/>
      <w:kern w:val="2"/>
    </w:rPr>
  </w:style>
  <w:style w:type="paragraph" w:customStyle="1" w:styleId="252">
    <w:name w:val="正文A"/>
    <w:basedOn w:val="1"/>
    <w:qFormat/>
    <w:uiPriority w:val="0"/>
    <w:pPr>
      <w:ind w:firstLine="200"/>
    </w:pPr>
    <w:rPr>
      <w:rFonts w:ascii="仿宋" w:hAnsi="仿宋" w:eastAsia="仿宋" w:cs="宋体"/>
      <w:snapToGrid/>
      <w:kern w:val="2"/>
      <w:szCs w:val="20"/>
    </w:rPr>
  </w:style>
  <w:style w:type="paragraph" w:customStyle="1" w:styleId="253">
    <w:name w:val="目录1"/>
    <w:basedOn w:val="1"/>
    <w:qFormat/>
    <w:uiPriority w:val="0"/>
    <w:pPr>
      <w:widowControl/>
      <w:tabs>
        <w:tab w:val="left" w:leader="dot" w:pos="8503"/>
      </w:tabs>
      <w:spacing w:after="136" w:line="289" w:lineRule="atLeast"/>
      <w:jc w:val="left"/>
      <w:textAlignment w:val="baseline"/>
    </w:pPr>
    <w:rPr>
      <w:rFonts w:ascii="Arial" w:eastAsia="黑体"/>
      <w:snapToGrid/>
      <w:szCs w:val="20"/>
      <w:u w:color="000000"/>
    </w:rPr>
  </w:style>
  <w:style w:type="paragraph" w:customStyle="1" w:styleId="254">
    <w:name w:val="题注样式"/>
    <w:basedOn w:val="5"/>
    <w:link w:val="289"/>
    <w:qFormat/>
    <w:uiPriority w:val="0"/>
    <w:pPr>
      <w:jc w:val="center"/>
      <w:outlineLvl w:val="9"/>
    </w:pPr>
    <w:rPr>
      <w:sz w:val="24"/>
    </w:rPr>
  </w:style>
  <w:style w:type="paragraph" w:customStyle="1" w:styleId="255">
    <w:name w:val="Table caption|1"/>
    <w:basedOn w:val="1"/>
    <w:qFormat/>
    <w:uiPriority w:val="0"/>
    <w:rPr>
      <w:rFonts w:ascii="宋体" w:hAnsi="宋体" w:cs="宋体"/>
      <w:sz w:val="22"/>
      <w:szCs w:val="22"/>
      <w:lang w:val="zh-TW" w:eastAsia="zh-TW" w:bidi="zh-TW"/>
    </w:rPr>
  </w:style>
  <w:style w:type="paragraph" w:customStyle="1" w:styleId="256">
    <w:name w:val="表格内容"/>
    <w:basedOn w:val="1"/>
    <w:qFormat/>
    <w:uiPriority w:val="0"/>
    <w:pPr>
      <w:overflowPunct w:val="0"/>
      <w:adjustRightInd w:val="0"/>
      <w:spacing w:before="40" w:after="60" w:line="200" w:lineRule="atLeast"/>
      <w:textAlignment w:val="baseline"/>
    </w:pPr>
    <w:rPr>
      <w:rFonts w:ascii="Arial" w:hAnsi="Arial" w:eastAsia="仿宋_GB2312"/>
      <w:snapToGrid/>
      <w:szCs w:val="20"/>
    </w:rPr>
  </w:style>
  <w:style w:type="paragraph" w:customStyle="1" w:styleId="257">
    <w:name w:val="样式 正文首行缩进 + 首行缩进:  1 字符"/>
    <w:basedOn w:val="56"/>
    <w:qFormat/>
    <w:uiPriority w:val="0"/>
    <w:pPr>
      <w:tabs>
        <w:tab w:val="left" w:pos="5327"/>
        <w:tab w:val="left" w:pos="6326"/>
        <w:tab w:val="left" w:pos="7230"/>
        <w:tab w:val="left" w:pos="9301"/>
      </w:tabs>
      <w:spacing w:after="0" w:line="560" w:lineRule="exact"/>
      <w:ind w:firstLine="560" w:firstLineChars="200"/>
    </w:pPr>
    <w:rPr>
      <w:rFonts w:ascii="宋体" w:hAnsi="宋体"/>
      <w:color w:val="FF0000"/>
      <w:kern w:val="10"/>
    </w:rPr>
  </w:style>
  <w:style w:type="paragraph" w:customStyle="1" w:styleId="258">
    <w:name w:val="p0"/>
    <w:basedOn w:val="1"/>
    <w:qFormat/>
    <w:uiPriority w:val="0"/>
    <w:pPr>
      <w:widowControl/>
    </w:pPr>
    <w:rPr>
      <w:rFonts w:ascii="Calibri" w:hAnsi="Calibri" w:cs="宋体"/>
      <w:szCs w:val="21"/>
    </w:rPr>
  </w:style>
  <w:style w:type="character" w:customStyle="1" w:styleId="259">
    <w:name w:val="HTML 预设格式 字符"/>
    <w:basedOn w:val="59"/>
    <w:link w:val="51"/>
    <w:qFormat/>
    <w:uiPriority w:val="0"/>
    <w:rPr>
      <w:rFonts w:ascii="宋体" w:hAnsi="宋体" w:eastAsia="宋体" w:cs="宋体"/>
      <w:kern w:val="0"/>
      <w:sz w:val="24"/>
      <w:szCs w:val="24"/>
    </w:rPr>
  </w:style>
  <w:style w:type="character" w:customStyle="1" w:styleId="260">
    <w:name w:val="td"/>
    <w:basedOn w:val="59"/>
    <w:qFormat/>
    <w:uiPriority w:val="0"/>
  </w:style>
  <w:style w:type="character" w:customStyle="1" w:styleId="261">
    <w:name w:val="正文文本 3 Char"/>
    <w:qFormat/>
    <w:uiPriority w:val="0"/>
    <w:rPr>
      <w:rFonts w:eastAsia="宋体"/>
      <w:color w:val="000000"/>
      <w:kern w:val="2"/>
      <w:sz w:val="21"/>
      <w:lang w:val="en-US" w:eastAsia="zh-CN" w:bidi="ar-SA"/>
    </w:rPr>
  </w:style>
  <w:style w:type="character" w:customStyle="1" w:styleId="262">
    <w:name w:val="Char Char12"/>
    <w:qFormat/>
    <w:locked/>
    <w:uiPriority w:val="0"/>
    <w:rPr>
      <w:rFonts w:eastAsia="宋体"/>
      <w:b/>
      <w:bCs/>
      <w:kern w:val="2"/>
      <w:sz w:val="32"/>
      <w:szCs w:val="32"/>
      <w:lang w:val="en-US" w:eastAsia="zh-CN" w:bidi="ar-SA"/>
    </w:rPr>
  </w:style>
  <w:style w:type="character" w:customStyle="1" w:styleId="263">
    <w:name w:val="正文缩进 字符"/>
    <w:link w:val="17"/>
    <w:qFormat/>
    <w:uiPriority w:val="0"/>
    <w:rPr>
      <w:rFonts w:ascii="Times New Roman" w:hAnsi="Times New Roman" w:eastAsia="宋体" w:cs="Times New Roman"/>
      <w:kern w:val="0"/>
      <w:sz w:val="20"/>
      <w:szCs w:val="20"/>
    </w:rPr>
  </w:style>
  <w:style w:type="character" w:customStyle="1" w:styleId="264">
    <w:name w:val="页眉 Char"/>
    <w:qFormat/>
    <w:locked/>
    <w:uiPriority w:val="0"/>
    <w:rPr>
      <w:rFonts w:eastAsia="宋体"/>
      <w:kern w:val="2"/>
      <w:sz w:val="18"/>
      <w:szCs w:val="18"/>
      <w:lang w:val="en-US" w:eastAsia="zh-CN" w:bidi="ar-SA"/>
    </w:rPr>
  </w:style>
  <w:style w:type="character" w:customStyle="1" w:styleId="265">
    <w:name w:val="Char Char2"/>
    <w:qFormat/>
    <w:locked/>
    <w:uiPriority w:val="0"/>
    <w:rPr>
      <w:rFonts w:ascii="宋体" w:hAnsi="宋体" w:eastAsia="宋体"/>
      <w:kern w:val="2"/>
      <w:sz w:val="18"/>
      <w:szCs w:val="18"/>
      <w:lang w:val="en-US" w:eastAsia="zh-CN" w:bidi="ar-SA"/>
    </w:rPr>
  </w:style>
  <w:style w:type="character" w:customStyle="1" w:styleId="266">
    <w:name w:val="页脚 Char"/>
    <w:semiHidden/>
    <w:qFormat/>
    <w:uiPriority w:val="0"/>
    <w:rPr>
      <w:rFonts w:eastAsia="宋体"/>
      <w:kern w:val="2"/>
      <w:sz w:val="18"/>
      <w:szCs w:val="18"/>
      <w:lang w:val="en-US" w:eastAsia="zh-CN" w:bidi="ar-SA"/>
    </w:rPr>
  </w:style>
  <w:style w:type="character" w:customStyle="1" w:styleId="267">
    <w:name w:val="样式 样式 样式 正文首行缩进 + 首行缩进:  2 字符 + 首行缩进:  2 字符 + 首行缩进:  2 字符 Char"/>
    <w:link w:val="268"/>
    <w:qFormat/>
    <w:uiPriority w:val="0"/>
    <w:rPr>
      <w:rFonts w:ascii="Arial Narrow" w:hAnsi="Arial Narrow" w:eastAsia="宋体" w:cs="宋体"/>
      <w:sz w:val="28"/>
      <w:szCs w:val="24"/>
    </w:rPr>
  </w:style>
  <w:style w:type="paragraph" w:customStyle="1" w:styleId="268">
    <w:name w:val="样式 样式 样式 正文首行缩进 + 首行缩进:  2 字符 + 首行缩进:  2 字符 + 首行缩进:  2 字符"/>
    <w:basedOn w:val="1"/>
    <w:link w:val="267"/>
    <w:qFormat/>
    <w:uiPriority w:val="0"/>
    <w:pPr>
      <w:widowControl/>
      <w:spacing w:line="560" w:lineRule="exact"/>
      <w:jc w:val="left"/>
    </w:pPr>
    <w:rPr>
      <w:rFonts w:ascii="Arial Narrow" w:hAnsi="Arial Narrow" w:cs="宋体"/>
      <w:snapToGrid/>
      <w:kern w:val="2"/>
    </w:rPr>
  </w:style>
  <w:style w:type="paragraph" w:customStyle="1" w:styleId="269">
    <w:name w:val="_Style 254"/>
    <w:basedOn w:val="1"/>
    <w:next w:val="1"/>
    <w:qFormat/>
    <w:uiPriority w:val="0"/>
    <w:pPr>
      <w:spacing w:line="240" w:lineRule="auto"/>
      <w:ind w:left="2100" w:leftChars="1000"/>
    </w:pPr>
    <w:rPr>
      <w:snapToGrid/>
      <w:kern w:val="2"/>
      <w:sz w:val="21"/>
    </w:rPr>
  </w:style>
  <w:style w:type="character" w:customStyle="1" w:styleId="270">
    <w:name w:val="标题 字符"/>
    <w:basedOn w:val="59"/>
    <w:link w:val="54"/>
    <w:qFormat/>
    <w:uiPriority w:val="0"/>
    <w:rPr>
      <w:rFonts w:ascii="Arial" w:hAnsi="Arial" w:eastAsia="宋体" w:cs="Arial"/>
      <w:b/>
      <w:bCs/>
      <w:sz w:val="32"/>
      <w:szCs w:val="32"/>
    </w:rPr>
  </w:style>
  <w:style w:type="paragraph" w:customStyle="1" w:styleId="271">
    <w:name w:val="Char Char Char Char Char Char1"/>
    <w:basedOn w:val="1"/>
    <w:next w:val="2"/>
    <w:qFormat/>
    <w:uiPriority w:val="0"/>
    <w:pPr>
      <w:spacing w:line="240" w:lineRule="auto"/>
    </w:pPr>
    <w:rPr>
      <w:snapToGrid/>
      <w:kern w:val="2"/>
    </w:rPr>
  </w:style>
  <w:style w:type="paragraph" w:customStyle="1" w:styleId="272">
    <w:name w:val="Char3"/>
    <w:basedOn w:val="1"/>
    <w:next w:val="1"/>
    <w:qFormat/>
    <w:uiPriority w:val="0"/>
    <w:pPr>
      <w:spacing w:line="240" w:lineRule="auto"/>
    </w:pPr>
    <w:rPr>
      <w:snapToGrid/>
      <w:kern w:val="2"/>
      <w:sz w:val="21"/>
    </w:rPr>
  </w:style>
  <w:style w:type="paragraph" w:customStyle="1" w:styleId="273">
    <w:name w:val="Char Char Char Char Char Char Char Char Char Char Char Char Char Char Char Char"/>
    <w:basedOn w:val="3"/>
    <w:qFormat/>
    <w:uiPriority w:val="0"/>
    <w:pPr>
      <w:widowControl/>
      <w:spacing w:before="100" w:beforeAutospacing="1" w:after="100" w:afterAutospacing="1" w:line="240" w:lineRule="exact"/>
      <w:contextualSpacing/>
      <w:jc w:val="left"/>
    </w:pPr>
    <w:rPr>
      <w:rFonts w:ascii="Verdana" w:hAnsi="Verdana"/>
      <w:bCs w:val="0"/>
      <w:snapToGrid/>
      <w:sz w:val="24"/>
      <w:szCs w:val="20"/>
      <w:lang w:eastAsia="en-US"/>
    </w:rPr>
  </w:style>
  <w:style w:type="paragraph" w:customStyle="1" w:styleId="274">
    <w:name w:val="Char Char Char Char Char Char Char Char Char Char Char Char Char Char Char Char Char Char Char Char Char Char1"/>
    <w:basedOn w:val="1"/>
    <w:next w:val="2"/>
    <w:qFormat/>
    <w:uiPriority w:val="0"/>
    <w:pPr>
      <w:spacing w:line="240" w:lineRule="auto"/>
    </w:pPr>
    <w:rPr>
      <w:snapToGrid/>
      <w:kern w:val="2"/>
    </w:rPr>
  </w:style>
  <w:style w:type="paragraph" w:customStyle="1" w:styleId="275">
    <w:name w:val="样式 标题 1 + 黑色"/>
    <w:basedOn w:val="3"/>
    <w:qFormat/>
    <w:uiPriority w:val="0"/>
    <w:pPr>
      <w:spacing w:before="100" w:beforeAutospacing="1" w:after="100" w:afterAutospacing="1"/>
      <w:contextualSpacing/>
    </w:pPr>
    <w:rPr>
      <w:bCs w:val="0"/>
      <w:snapToGrid/>
      <w:kern w:val="44"/>
    </w:rPr>
  </w:style>
  <w:style w:type="paragraph" w:customStyle="1" w:styleId="276">
    <w:name w:val="样式 标题 2 + 黑色 左侧:  2 字符 右侧:  2 字符"/>
    <w:basedOn w:val="4"/>
    <w:qFormat/>
    <w:uiPriority w:val="0"/>
    <w:pPr>
      <w:spacing w:before="100" w:beforeAutospacing="1" w:after="100" w:afterAutospacing="1"/>
      <w:ind w:left="200" w:leftChars="200" w:right="200" w:rightChars="200"/>
      <w:contextualSpacing/>
    </w:pPr>
    <w:rPr>
      <w:rFonts w:cs="宋体"/>
      <w:snapToGrid/>
      <w:kern w:val="2"/>
      <w:szCs w:val="20"/>
    </w:rPr>
  </w:style>
  <w:style w:type="character" w:customStyle="1" w:styleId="277">
    <w:name w:val="未处理的提及1"/>
    <w:semiHidden/>
    <w:unhideWhenUsed/>
    <w:qFormat/>
    <w:uiPriority w:val="99"/>
    <w:rPr>
      <w:color w:val="605E5C"/>
      <w:shd w:val="clear" w:color="auto" w:fill="E1DFDD"/>
    </w:rPr>
  </w:style>
  <w:style w:type="character" w:customStyle="1" w:styleId="278">
    <w:name w:val="明显强调1"/>
    <w:basedOn w:val="59"/>
    <w:qFormat/>
    <w:uiPriority w:val="21"/>
    <w:rPr>
      <w:i/>
      <w:iCs/>
      <w:color w:val="4F81BD" w:themeColor="accent1"/>
      <w14:textFill>
        <w14:solidFill>
          <w14:schemeClr w14:val="accent1"/>
        </w14:solidFill>
      </w14:textFill>
    </w:rPr>
  </w:style>
  <w:style w:type="paragraph" w:customStyle="1" w:styleId="279">
    <w:name w:val="表格 内容"/>
    <w:basedOn w:val="1"/>
    <w:qFormat/>
    <w:uiPriority w:val="0"/>
    <w:pPr>
      <w:spacing w:line="360" w:lineRule="exact"/>
      <w:jc w:val="center"/>
    </w:pPr>
    <w:rPr>
      <w:snapToGrid/>
      <w:kern w:val="2"/>
      <w:sz w:val="21"/>
    </w:rPr>
  </w:style>
  <w:style w:type="paragraph" w:customStyle="1" w:styleId="280">
    <w:name w:val="1级标题"/>
    <w:basedOn w:val="3"/>
    <w:link w:val="283"/>
    <w:qFormat/>
    <w:uiPriority w:val="0"/>
  </w:style>
  <w:style w:type="paragraph" w:customStyle="1" w:styleId="281">
    <w:name w:val="表格 表头"/>
    <w:basedOn w:val="1"/>
    <w:qFormat/>
    <w:uiPriority w:val="0"/>
    <w:pPr>
      <w:spacing w:line="360" w:lineRule="exact"/>
      <w:jc w:val="center"/>
    </w:pPr>
    <w:rPr>
      <w:b/>
      <w:snapToGrid/>
      <w:kern w:val="2"/>
      <w:sz w:val="21"/>
    </w:rPr>
  </w:style>
  <w:style w:type="character" w:customStyle="1" w:styleId="282">
    <w:name w:val="2级标题 字符"/>
    <w:basedOn w:val="67"/>
    <w:link w:val="71"/>
    <w:qFormat/>
    <w:uiPriority w:val="0"/>
    <w:rPr>
      <w:rFonts w:ascii="Times New Roman" w:hAnsi="Times New Roman" w:eastAsia="宋体" w:cs="Times New Roman"/>
      <w:bCs w:val="0"/>
      <w:smallCaps/>
      <w:snapToGrid/>
      <w:color w:val="000000" w:themeColor="text1"/>
      <w:kern w:val="0"/>
      <w:sz w:val="36"/>
      <w:szCs w:val="36"/>
      <w14:textFill>
        <w14:solidFill>
          <w14:schemeClr w14:val="tx1"/>
        </w14:solidFill>
      </w14:textFill>
    </w:rPr>
  </w:style>
  <w:style w:type="character" w:customStyle="1" w:styleId="283">
    <w:name w:val="1级标题 字符"/>
    <w:basedOn w:val="282"/>
    <w:link w:val="280"/>
    <w:qFormat/>
    <w:uiPriority w:val="0"/>
    <w:rPr>
      <w:rFonts w:ascii="Times New Roman" w:hAnsi="Times New Roman" w:eastAsia="宋体" w:cs="Times New Roman"/>
      <w:smallCaps w:val="0"/>
      <w:snapToGrid w:val="0"/>
      <w:color w:val="000000" w:themeColor="text1"/>
      <w:kern w:val="0"/>
      <w:sz w:val="44"/>
      <w:szCs w:val="44"/>
      <w14:textFill>
        <w14:solidFill>
          <w14:schemeClr w14:val="tx1"/>
        </w14:solidFill>
      </w14:textFill>
    </w:rPr>
  </w:style>
  <w:style w:type="paragraph" w:customStyle="1" w:styleId="284">
    <w:name w:val="标题 3级"/>
    <w:next w:val="1"/>
    <w:qFormat/>
    <w:uiPriority w:val="0"/>
    <w:pPr>
      <w:tabs>
        <w:tab w:val="left" w:pos="1963"/>
      </w:tabs>
      <w:spacing w:line="360" w:lineRule="auto"/>
      <w:ind w:left="1963" w:hanging="360"/>
      <w:outlineLvl w:val="2"/>
    </w:pPr>
    <w:rPr>
      <w:rFonts w:ascii="Times New Roman" w:hAnsi="Times New Roman" w:eastAsia="宋体" w:cs="Times New Roman"/>
      <w:b/>
      <w:kern w:val="2"/>
      <w:sz w:val="30"/>
      <w:szCs w:val="21"/>
      <w:lang w:val="en-US" w:eastAsia="zh-CN" w:bidi="ar-SA"/>
    </w:rPr>
  </w:style>
  <w:style w:type="paragraph" w:customStyle="1" w:styleId="285">
    <w:name w:val="正文非煤评价"/>
    <w:qFormat/>
    <w:uiPriority w:val="0"/>
    <w:pPr>
      <w:spacing w:line="360" w:lineRule="auto"/>
      <w:ind w:firstLine="200" w:firstLineChars="200"/>
      <w:jc w:val="both"/>
    </w:pPr>
    <w:rPr>
      <w:rFonts w:ascii="Times New Roman" w:hAnsi="Times New Roman" w:eastAsia="宋体" w:cs="Times New Roman"/>
      <w:kern w:val="2"/>
      <w:sz w:val="28"/>
      <w:szCs w:val="28"/>
      <w:lang w:val="en-US" w:eastAsia="zh-CN" w:bidi="ar-SA"/>
    </w:rPr>
  </w:style>
  <w:style w:type="paragraph" w:customStyle="1" w:styleId="286">
    <w:name w:val="TOC 标题1"/>
    <w:basedOn w:val="3"/>
    <w:next w:val="1"/>
    <w:unhideWhenUsed/>
    <w:qFormat/>
    <w:uiPriority w:val="39"/>
    <w:pPr>
      <w:widowControl/>
      <w:spacing w:before="240" w:line="259" w:lineRule="auto"/>
      <w:jc w:val="left"/>
      <w:outlineLvl w:val="9"/>
    </w:pPr>
    <w:rPr>
      <w:rFonts w:asciiTheme="majorHAnsi" w:hAnsiTheme="majorHAnsi" w:eastAsiaTheme="majorEastAsia" w:cstheme="majorBidi"/>
      <w:b w:val="0"/>
      <w:snapToGrid/>
      <w:color w:val="376092" w:themeColor="accent1" w:themeShade="BF"/>
      <w:sz w:val="32"/>
      <w:szCs w:val="32"/>
    </w:rPr>
  </w:style>
  <w:style w:type="character" w:customStyle="1" w:styleId="287">
    <w:name w:val="列表段落 字符"/>
    <w:basedOn w:val="59"/>
    <w:link w:val="108"/>
    <w:qFormat/>
    <w:uiPriority w:val="99"/>
    <w:rPr>
      <w:rFonts w:ascii="Times New Roman" w:hAnsi="Times New Roman" w:eastAsia="宋体" w:cs="Times New Roman"/>
      <w:snapToGrid w:val="0"/>
      <w:color w:val="000000"/>
      <w:kern w:val="0"/>
      <w:sz w:val="28"/>
      <w:szCs w:val="28"/>
    </w:rPr>
  </w:style>
  <w:style w:type="character" w:customStyle="1" w:styleId="288">
    <w:name w:val="表格样式 字符"/>
    <w:basedOn w:val="287"/>
    <w:link w:val="70"/>
    <w:qFormat/>
    <w:uiPriority w:val="0"/>
    <w:rPr>
      <w:rFonts w:ascii="Times New Roman" w:hAnsi="Times New Roman" w:eastAsia="宋体" w:cs="Times New Roman"/>
      <w:snapToGrid w:val="0"/>
      <w:color w:val="000000"/>
      <w:kern w:val="0"/>
      <w:sz w:val="28"/>
      <w:szCs w:val="28"/>
    </w:rPr>
  </w:style>
  <w:style w:type="character" w:customStyle="1" w:styleId="289">
    <w:name w:val="题注样式 字符"/>
    <w:basedOn w:val="82"/>
    <w:link w:val="254"/>
    <w:qFormat/>
    <w:uiPriority w:val="0"/>
    <w:rPr>
      <w:rFonts w:ascii="Times New Roman" w:hAnsi="Times New Roman" w:eastAsia="宋体" w:cs="Times New Roman"/>
      <w:snapToGrid w:val="0"/>
      <w:color w:val="000000"/>
      <w:kern w:val="0"/>
      <w:sz w:val="24"/>
      <w:szCs w:val="20"/>
    </w:rPr>
  </w:style>
  <w:style w:type="paragraph" w:customStyle="1" w:styleId="290">
    <w:name w:val="图片样式"/>
    <w:basedOn w:val="56"/>
    <w:link w:val="291"/>
    <w:qFormat/>
    <w:uiPriority w:val="0"/>
    <w:pPr>
      <w:ind w:firstLine="0" w:firstLineChars="0"/>
      <w:jc w:val="center"/>
    </w:pPr>
    <w:rPr>
      <w:snapToGrid/>
    </w:rPr>
  </w:style>
  <w:style w:type="character" w:customStyle="1" w:styleId="291">
    <w:name w:val="图片样式 字符"/>
    <w:basedOn w:val="99"/>
    <w:link w:val="290"/>
    <w:qFormat/>
    <w:uiPriority w:val="0"/>
    <w:rPr>
      <w:rFonts w:ascii="Times New Roman" w:hAnsi="Times New Roman" w:eastAsia="宋体" w:cs="Times New Roman"/>
      <w:snapToGrid/>
      <w:color w:val="000000"/>
      <w:kern w:val="0"/>
      <w:sz w:val="28"/>
      <w:szCs w:val="28"/>
    </w:rPr>
  </w:style>
  <w:style w:type="paragraph" w:customStyle="1" w:styleId="292">
    <w:name w:val="Char Char Char Char Char Char2"/>
    <w:basedOn w:val="1"/>
    <w:next w:val="2"/>
    <w:qFormat/>
    <w:uiPriority w:val="0"/>
    <w:pPr>
      <w:snapToGrid/>
      <w:ind w:firstLine="0" w:firstLineChars="0"/>
    </w:pPr>
    <w:rPr>
      <w:snapToGrid/>
      <w:color w:val="auto"/>
      <w:kern w:val="2"/>
    </w:rPr>
  </w:style>
  <w:style w:type="character" w:customStyle="1" w:styleId="293">
    <w:name w:val="15"/>
    <w:basedOn w:val="59"/>
    <w:qFormat/>
    <w:uiPriority w:val="0"/>
    <w:rPr>
      <w:rFonts w:hint="default" w:ascii="Calibri" w:hAnsi="Calibri" w:cs="Calibri"/>
      <w:color w:val="0000FF"/>
      <w:u w:val="single"/>
    </w:rPr>
  </w:style>
  <w:style w:type="paragraph" w:styleId="294">
    <w:name w:val="No Spacing"/>
    <w:qFormat/>
    <w:uiPriority w:val="0"/>
    <w:rPr>
      <w:rFonts w:ascii="Calibri" w:hAnsi="Calibri" w:eastAsia="宋体" w:cs="Times New Roman"/>
      <w:sz w:val="22"/>
      <w:szCs w:val="22"/>
      <w:lang w:val="en-US" w:eastAsia="zh-CN" w:bidi="ar-SA"/>
    </w:rPr>
  </w:style>
  <w:style w:type="paragraph" w:customStyle="1" w:styleId="295">
    <w:name w:val="样式 样式 样式 小四 首行缩进:  2.25 字符 + 首行缩进:  2.25 字符 + 首行缩进:  2 字符"/>
    <w:basedOn w:val="296"/>
    <w:qFormat/>
    <w:uiPriority w:val="99"/>
  </w:style>
  <w:style w:type="paragraph" w:customStyle="1" w:styleId="296">
    <w:name w:val="样式 样式 小四 首行缩进:  2.25 字符 + 首行缩进:  2.25 字符"/>
    <w:basedOn w:val="297"/>
    <w:qFormat/>
    <w:uiPriority w:val="99"/>
  </w:style>
  <w:style w:type="paragraph" w:customStyle="1" w:styleId="297">
    <w:name w:val="样式 小四 首行缩进:  2.25 字符"/>
    <w:basedOn w:val="1"/>
    <w:qFormat/>
    <w:uiPriority w:val="99"/>
    <w:pPr>
      <w:spacing w:line="440" w:lineRule="exact"/>
    </w:pPr>
    <w:rPr>
      <w:szCs w:val="20"/>
    </w:rPr>
  </w:style>
  <w:style w:type="character" w:customStyle="1" w:styleId="298">
    <w:name w:val="font91"/>
    <w:basedOn w:val="59"/>
    <w:qFormat/>
    <w:uiPriority w:val="0"/>
    <w:rPr>
      <w:rFonts w:hint="default" w:ascii="Times New Roman" w:hAnsi="Times New Roman" w:cs="Times New Roman"/>
      <w:color w:val="000000"/>
      <w:sz w:val="16"/>
      <w:szCs w:val="16"/>
      <w:u w:val="none"/>
    </w:rPr>
  </w:style>
  <w:style w:type="character" w:customStyle="1" w:styleId="299">
    <w:name w:val="font61"/>
    <w:basedOn w:val="59"/>
    <w:qFormat/>
    <w:uiPriority w:val="0"/>
    <w:rPr>
      <w:rFonts w:hint="eastAsia" w:ascii="宋体" w:hAnsi="宋体" w:eastAsia="宋体" w:cs="宋体"/>
      <w:color w:val="000000"/>
      <w:sz w:val="16"/>
      <w:szCs w:val="16"/>
      <w:u w:val="none"/>
    </w:rPr>
  </w:style>
  <w:style w:type="character" w:customStyle="1" w:styleId="300">
    <w:name w:val="font101"/>
    <w:basedOn w:val="59"/>
    <w:qFormat/>
    <w:uiPriority w:val="0"/>
    <w:rPr>
      <w:rFonts w:hint="default" w:ascii="Times New Roman" w:hAnsi="Times New Roman" w:cs="Times New Roman"/>
      <w:color w:val="FF0000"/>
      <w:sz w:val="16"/>
      <w:szCs w:val="16"/>
      <w:u w:val="none"/>
    </w:rPr>
  </w:style>
  <w:style w:type="character" w:customStyle="1" w:styleId="301">
    <w:name w:val="font112"/>
    <w:basedOn w:val="59"/>
    <w:qFormat/>
    <w:uiPriority w:val="0"/>
    <w:rPr>
      <w:rFonts w:hint="eastAsia" w:ascii="宋体" w:hAnsi="宋体" w:eastAsia="宋体" w:cs="宋体"/>
      <w:color w:val="FF0000"/>
      <w:sz w:val="16"/>
      <w:szCs w:val="16"/>
      <w:u w:val="none"/>
      <w:vertAlign w:val="superscript"/>
    </w:rPr>
  </w:style>
  <w:style w:type="character" w:customStyle="1" w:styleId="302">
    <w:name w:val="font41"/>
    <w:basedOn w:val="59"/>
    <w:qFormat/>
    <w:uiPriority w:val="0"/>
    <w:rPr>
      <w:rFonts w:hint="eastAsia" w:ascii="宋体" w:hAnsi="宋体" w:eastAsia="宋体" w:cs="宋体"/>
      <w:color w:val="FF0000"/>
      <w:sz w:val="16"/>
      <w:szCs w:val="16"/>
      <w:u w:val="none"/>
    </w:rPr>
  </w:style>
  <w:style w:type="character" w:customStyle="1" w:styleId="303">
    <w:name w:val="font121"/>
    <w:basedOn w:val="59"/>
    <w:qFormat/>
    <w:uiPriority w:val="0"/>
    <w:rPr>
      <w:rFonts w:hint="eastAsia" w:ascii="宋体" w:hAnsi="宋体" w:eastAsia="宋体" w:cs="宋体"/>
      <w:color w:val="000000"/>
      <w:sz w:val="16"/>
      <w:szCs w:val="16"/>
      <w:u w:val="none"/>
      <w:vertAlign w:val="superscript"/>
    </w:rPr>
  </w:style>
  <w:style w:type="character" w:customStyle="1" w:styleId="304">
    <w:name w:val="font31"/>
    <w:basedOn w:val="59"/>
    <w:qFormat/>
    <w:uiPriority w:val="0"/>
    <w:rPr>
      <w:rFonts w:hint="eastAsia" w:ascii="宋体" w:hAnsi="宋体" w:eastAsia="宋体" w:cs="宋体"/>
      <w:color w:val="000000"/>
      <w:sz w:val="16"/>
      <w:szCs w:val="16"/>
      <w:u w:val="none"/>
    </w:rPr>
  </w:style>
  <w:style w:type="paragraph" w:customStyle="1" w:styleId="305">
    <w:name w:val="正文文本 (2)"/>
    <w:link w:val="306"/>
    <w:unhideWhenUsed/>
    <w:qFormat/>
    <w:uiPriority w:val="99"/>
    <w:pPr>
      <w:shd w:val="clear" w:color="auto" w:fill="FFFFFF"/>
      <w:spacing w:beforeLines="0" w:afterLines="0" w:line="237" w:lineRule="exact"/>
      <w:ind w:firstLine="420"/>
      <w:jc w:val="distribute"/>
    </w:pPr>
    <w:rPr>
      <w:rFonts w:hint="eastAsia" w:ascii="MingLiU" w:hAnsi="MingLiU" w:eastAsia="MingLiU" w:cs="Times New Roman"/>
      <w:kern w:val="0"/>
      <w:sz w:val="13"/>
      <w:szCs w:val="13"/>
    </w:rPr>
  </w:style>
  <w:style w:type="character" w:customStyle="1" w:styleId="306">
    <w:name w:val="正文文本 (2)_"/>
    <w:link w:val="305"/>
    <w:unhideWhenUsed/>
    <w:qFormat/>
    <w:uiPriority w:val="99"/>
    <w:rPr>
      <w:rFonts w:hint="eastAsia" w:ascii="MingLiU" w:hAnsi="MingLiU" w:eastAsia="MingLiU"/>
      <w:kern w:val="0"/>
      <w:sz w:val="13"/>
      <w:szCs w:val="13"/>
    </w:rPr>
  </w:style>
  <w:style w:type="paragraph" w:customStyle="1" w:styleId="307">
    <w:name w:val="KM_正文"/>
    <w:basedOn w:val="1"/>
    <w:qFormat/>
    <w:uiPriority w:val="0"/>
    <w:pPr>
      <w:ind w:firstLine="480"/>
      <w:jc w:val="left"/>
    </w:pPr>
    <w:rPr>
      <w:sz w:val="24"/>
      <w:szCs w:val="21"/>
    </w:rPr>
  </w:style>
  <w:style w:type="table" w:customStyle="1" w:styleId="30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7" Type="http://schemas.openxmlformats.org/officeDocument/2006/relationships/fontTable" Target="fontTable.xml"/><Relationship Id="rId76" Type="http://schemas.openxmlformats.org/officeDocument/2006/relationships/customXml" Target="../customXml/item2.xml"/><Relationship Id="rId75" Type="http://schemas.openxmlformats.org/officeDocument/2006/relationships/numbering" Target="numbering.xml"/><Relationship Id="rId74" Type="http://schemas.openxmlformats.org/officeDocument/2006/relationships/customXml" Target="../customXml/item1.xml"/><Relationship Id="rId73" Type="http://schemas.openxmlformats.org/officeDocument/2006/relationships/image" Target="media/image54.png"/><Relationship Id="rId72" Type="http://schemas.openxmlformats.org/officeDocument/2006/relationships/image" Target="media/image53.png"/><Relationship Id="rId71" Type="http://schemas.openxmlformats.org/officeDocument/2006/relationships/image" Target="media/image52.png"/><Relationship Id="rId70" Type="http://schemas.openxmlformats.org/officeDocument/2006/relationships/image" Target="media/image51.png"/><Relationship Id="rId7" Type="http://schemas.openxmlformats.org/officeDocument/2006/relationships/header" Target="header3.xml"/><Relationship Id="rId69" Type="http://schemas.openxmlformats.org/officeDocument/2006/relationships/image" Target="media/image50.png"/><Relationship Id="rId68" Type="http://schemas.openxmlformats.org/officeDocument/2006/relationships/image" Target="media/image49.png"/><Relationship Id="rId67" Type="http://schemas.openxmlformats.org/officeDocument/2006/relationships/image" Target="media/image48.png"/><Relationship Id="rId66" Type="http://schemas.openxmlformats.org/officeDocument/2006/relationships/image" Target="media/image47.png"/><Relationship Id="rId65" Type="http://schemas.openxmlformats.org/officeDocument/2006/relationships/image" Target="media/image46.jpeg"/><Relationship Id="rId64" Type="http://schemas.openxmlformats.org/officeDocument/2006/relationships/image" Target="media/image45.wmf"/><Relationship Id="rId63" Type="http://schemas.openxmlformats.org/officeDocument/2006/relationships/oleObject" Target="embeddings/oleObject5.bin"/><Relationship Id="rId62" Type="http://schemas.openxmlformats.org/officeDocument/2006/relationships/image" Target="media/image44.wmf"/><Relationship Id="rId61" Type="http://schemas.openxmlformats.org/officeDocument/2006/relationships/oleObject" Target="embeddings/oleObject4.bin"/><Relationship Id="rId60" Type="http://schemas.openxmlformats.org/officeDocument/2006/relationships/image" Target="media/image43.wmf"/><Relationship Id="rId6" Type="http://schemas.openxmlformats.org/officeDocument/2006/relationships/header" Target="header2.xml"/><Relationship Id="rId59" Type="http://schemas.openxmlformats.org/officeDocument/2006/relationships/oleObject" Target="embeddings/oleObject3.bin"/><Relationship Id="rId58" Type="http://schemas.openxmlformats.org/officeDocument/2006/relationships/image" Target="media/image42.wmf"/><Relationship Id="rId57" Type="http://schemas.openxmlformats.org/officeDocument/2006/relationships/oleObject" Target="embeddings/oleObject2.bin"/><Relationship Id="rId56" Type="http://schemas.openxmlformats.org/officeDocument/2006/relationships/image" Target="media/image41.wmf"/><Relationship Id="rId55" Type="http://schemas.openxmlformats.org/officeDocument/2006/relationships/oleObject" Target="embeddings/oleObject1.bin"/><Relationship Id="rId54" Type="http://schemas.openxmlformats.org/officeDocument/2006/relationships/image" Target="media/image40.wmf"/><Relationship Id="rId53" Type="http://schemas.openxmlformats.org/officeDocument/2006/relationships/image" Target="media/image39.jpeg"/><Relationship Id="rId52" Type="http://schemas.openxmlformats.org/officeDocument/2006/relationships/image" Target="media/image38.jpeg"/><Relationship Id="rId51" Type="http://schemas.openxmlformats.org/officeDocument/2006/relationships/image" Target="media/image37.jpeg"/><Relationship Id="rId50" Type="http://schemas.openxmlformats.org/officeDocument/2006/relationships/image" Target="media/image36.jpeg"/><Relationship Id="rId5" Type="http://schemas.openxmlformats.org/officeDocument/2006/relationships/header" Target="header1.xml"/><Relationship Id="rId49" Type="http://schemas.openxmlformats.org/officeDocument/2006/relationships/image" Target="media/image35.jpeg"/><Relationship Id="rId48" Type="http://schemas.openxmlformats.org/officeDocument/2006/relationships/image" Target="media/image34.jpeg"/><Relationship Id="rId47" Type="http://schemas.openxmlformats.org/officeDocument/2006/relationships/image" Target="media/image33.jpeg"/><Relationship Id="rId46" Type="http://schemas.openxmlformats.org/officeDocument/2006/relationships/image" Target="media/image32.jpeg"/><Relationship Id="rId45" Type="http://schemas.openxmlformats.org/officeDocument/2006/relationships/image" Target="media/image31.jpeg"/><Relationship Id="rId44" Type="http://schemas.openxmlformats.org/officeDocument/2006/relationships/image" Target="media/image30.png"/><Relationship Id="rId43" Type="http://schemas.openxmlformats.org/officeDocument/2006/relationships/image" Target="media/image29.jpeg"/><Relationship Id="rId42" Type="http://schemas.openxmlformats.org/officeDocument/2006/relationships/image" Target="media/image28.jpeg"/><Relationship Id="rId41" Type="http://schemas.openxmlformats.org/officeDocument/2006/relationships/image" Target="media/image27.jpeg"/><Relationship Id="rId40" Type="http://schemas.openxmlformats.org/officeDocument/2006/relationships/image" Target="media/image26.png"/><Relationship Id="rId4" Type="http://schemas.openxmlformats.org/officeDocument/2006/relationships/endnotes" Target="endnotes.xml"/><Relationship Id="rId39" Type="http://schemas.openxmlformats.org/officeDocument/2006/relationships/image" Target="media/image25.png"/><Relationship Id="rId38" Type="http://schemas.openxmlformats.org/officeDocument/2006/relationships/image" Target="media/image24.jpeg"/><Relationship Id="rId37" Type="http://schemas.openxmlformats.org/officeDocument/2006/relationships/image" Target="media/image23.jpeg"/><Relationship Id="rId36" Type="http://schemas.openxmlformats.org/officeDocument/2006/relationships/image" Target="media/image22.jpeg"/><Relationship Id="rId35" Type="http://schemas.openxmlformats.org/officeDocument/2006/relationships/image" Target="media/image21.jpeg"/><Relationship Id="rId34" Type="http://schemas.openxmlformats.org/officeDocument/2006/relationships/image" Target="media/image20.jpeg"/><Relationship Id="rId33" Type="http://schemas.openxmlformats.org/officeDocument/2006/relationships/image" Target="media/image19.jpeg"/><Relationship Id="rId32" Type="http://schemas.openxmlformats.org/officeDocument/2006/relationships/image" Target="media/image18.png"/><Relationship Id="rId31" Type="http://schemas.openxmlformats.org/officeDocument/2006/relationships/image" Target="media/image17.png"/><Relationship Id="rId30" Type="http://schemas.openxmlformats.org/officeDocument/2006/relationships/image" Target="media/image16.png"/><Relationship Id="rId3" Type="http://schemas.openxmlformats.org/officeDocument/2006/relationships/footnotes" Target="footnotes.xml"/><Relationship Id="rId29" Type="http://schemas.openxmlformats.org/officeDocument/2006/relationships/image" Target="media/image15.png"/><Relationship Id="rId28" Type="http://schemas.openxmlformats.org/officeDocument/2006/relationships/image" Target="media/image14.jpeg"/><Relationship Id="rId27" Type="http://schemas.openxmlformats.org/officeDocument/2006/relationships/image" Target="media/image13.jpeg"/><Relationship Id="rId26" Type="http://schemas.openxmlformats.org/officeDocument/2006/relationships/image" Target="media/image12.png"/><Relationship Id="rId25" Type="http://schemas.openxmlformats.org/officeDocument/2006/relationships/image" Target="media/image11.jpeg"/><Relationship Id="rId24" Type="http://schemas.openxmlformats.org/officeDocument/2006/relationships/image" Target="media/image10.jpeg"/><Relationship Id="rId23" Type="http://schemas.openxmlformats.org/officeDocument/2006/relationships/image" Target="media/image9.jpeg"/><Relationship Id="rId22" Type="http://schemas.openxmlformats.org/officeDocument/2006/relationships/image" Target="media/image8.png"/><Relationship Id="rId21" Type="http://schemas.openxmlformats.org/officeDocument/2006/relationships/image" Target="media/image7.jpeg"/><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jpe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jpe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365F52-B6C9-4749-AC60-389F9689D6DC}">
  <ds:schemaRefs/>
</ds:datastoreItem>
</file>

<file path=docProps/app.xml><?xml version="1.0" encoding="utf-8"?>
<Properties xmlns="http://schemas.openxmlformats.org/officeDocument/2006/extended-properties" xmlns:vt="http://schemas.openxmlformats.org/officeDocument/2006/docPropsVTypes">
  <Template>Normal.dotm</Template>
  <Pages>75</Pages>
  <Words>5033</Words>
  <Characters>5845</Characters>
  <Lines>216</Lines>
  <Paragraphs>60</Paragraphs>
  <TotalTime>3</TotalTime>
  <ScaleCrop>false</ScaleCrop>
  <LinksUpToDate>false</LinksUpToDate>
  <CharactersWithSpaces>5960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2022-06-09T00:26:00Z</dcterms:created>
  <dc:creator>Windows User</dc:creator>
  <cp:lastModifiedBy>荒</cp:lastModifiedBy>
  <dcterms:modified xsi:type="dcterms:W3CDTF">2024-11-01T01:35:00Z</dcterms:modified>
  <cp:revision>133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C19FBCB0EFE0423DB40125169FBB75F4</vt:lpwstr>
  </property>
</Properties>
</file>